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E6479">
      <w:pPr>
        <w:pageBreakBefore w:val="0"/>
        <w:kinsoku/>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智慧计量实验室建设的实施路径</w:t>
      </w:r>
    </w:p>
    <w:p w14:paraId="3E864488">
      <w:pPr>
        <w:pageBreakBefore w:val="0"/>
        <w:kinsoku/>
        <w:overflowPunct/>
        <w:topLinePunct w:val="0"/>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与创新机制</w:t>
      </w:r>
    </w:p>
    <w:p w14:paraId="139A2043">
      <w:pPr>
        <w:pageBreakBefore w:val="0"/>
        <w:kinsoku/>
        <w:overflowPunct/>
        <w:topLinePunct w:val="0"/>
        <w:bidi w:val="0"/>
        <w:spacing w:line="560" w:lineRule="exact"/>
        <w:rPr>
          <w:rFonts w:hint="eastAsia" w:ascii="Times New Roman" w:hAnsi="Times New Roman" w:eastAsia="仿宋_GB2312" w:cs="Times New Roman"/>
          <w:sz w:val="32"/>
          <w:szCs w:val="32"/>
          <w:lang w:val="en-US" w:eastAsia="zh-CN"/>
        </w:rPr>
      </w:pPr>
      <w:bookmarkStart w:id="0" w:name="OLE_LINK3"/>
      <w:bookmarkStart w:id="1" w:name="OLE_LINK2"/>
      <w:bookmarkStart w:id="2" w:name="OLE_LINK8"/>
      <w:bookmarkStart w:id="3" w:name="OLE_LINK9"/>
      <w:bookmarkStart w:id="4" w:name="OLE_LINK1"/>
    </w:p>
    <w:p w14:paraId="6F3C96E2">
      <w:pPr>
        <w:pageBreakBefore w:val="0"/>
        <w:kinsoku/>
        <w:overflowPunct/>
        <w:topLinePunct w:val="0"/>
        <w:bidi w:val="0"/>
        <w:spacing w:line="560" w:lineRule="exac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作者：</w:t>
      </w:r>
      <w:r>
        <w:rPr>
          <w:rFonts w:hint="eastAsia" w:ascii="方正楷体_GBK" w:hAnsi="方正楷体_GBK" w:eastAsia="方正楷体_GBK" w:cs="方正楷体_GBK"/>
          <w:sz w:val="32"/>
          <w:szCs w:val="32"/>
        </w:rPr>
        <w:t>邓韵 广西壮族自治区计量检测研究院</w:t>
      </w:r>
      <w:r>
        <w:rPr>
          <w:rFonts w:hint="eastAsia" w:ascii="方正楷体_GBK" w:hAnsi="方正楷体_GBK" w:eastAsia="方正楷体_GBK" w:cs="方正楷体_GBK"/>
          <w:sz w:val="32"/>
          <w:szCs w:val="32"/>
          <w:lang w:val="en-US" w:eastAsia="zh-CN"/>
        </w:rPr>
        <w:t xml:space="preserve"> 科研部主任助理</w:t>
      </w:r>
    </w:p>
    <w:p w14:paraId="37A17070">
      <w:pPr>
        <w:pageBreakBefore w:val="0"/>
        <w:kinsoku/>
        <w:overflowPunct/>
        <w:topLinePunct w:val="0"/>
        <w:bidi w:val="0"/>
        <w:spacing w:line="56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张毅</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广西壮族自治区计量检测研究院 </w:t>
      </w:r>
      <w:r>
        <w:rPr>
          <w:rFonts w:hint="eastAsia" w:ascii="方正楷体_GBK" w:hAnsi="方正楷体_GBK" w:eastAsia="方正楷体_GBK" w:cs="方正楷体_GBK"/>
          <w:sz w:val="32"/>
          <w:szCs w:val="32"/>
          <w:lang w:val="en-US" w:eastAsia="zh-CN"/>
        </w:rPr>
        <w:t>热工所副所长</w:t>
      </w:r>
      <w:r>
        <w:rPr>
          <w:rFonts w:hint="eastAsia" w:ascii="方正楷体_GBK" w:hAnsi="方正楷体_GBK" w:eastAsia="方正楷体_GBK" w:cs="方正楷体_GBK"/>
          <w:sz w:val="32"/>
          <w:szCs w:val="32"/>
        </w:rPr>
        <w:t xml:space="preserve">  </w:t>
      </w:r>
    </w:p>
    <w:p w14:paraId="0A7443E3">
      <w:pPr>
        <w:pageBreakBefore w:val="0"/>
        <w:kinsoku/>
        <w:overflowPunct/>
        <w:topLinePunct w:val="0"/>
        <w:bidi w:val="0"/>
        <w:spacing w:line="560" w:lineRule="exact"/>
        <w:ind w:firstLine="1600" w:firstLineChars="500"/>
        <w:rPr>
          <w:rFonts w:hint="eastAsia" w:ascii="Times New Roman" w:hAnsi="Times New Roman" w:eastAsia="仿宋_GB2312" w:cs="Times New Roman"/>
          <w:sz w:val="32"/>
          <w:szCs w:val="32"/>
        </w:rPr>
      </w:pPr>
    </w:p>
    <w:p w14:paraId="4DD1D789">
      <w:pPr>
        <w:pageBreakBefore w:val="0"/>
        <w:kinsoku/>
        <w:overflowPunct/>
        <w:topLinePunct w:val="0"/>
        <w:bidi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一、智慧计量实验室建设的战略意义与迫切性</w:t>
      </w:r>
    </w:p>
    <w:p w14:paraId="20851742">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（一）精准计量是现代化经济体系的重要支撑</w:t>
      </w:r>
    </w:p>
    <w:p w14:paraId="4010392E">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随着我国前沿技术的发展和产业升级，新时代计量科技正全面融入产业发展的全过程，为实现高质量发展提供更精准快速的计量技术支撑与保障。在“双碳”目标驱动下，构建碳排放智慧计量网络成为关键，</w:t>
      </w:r>
      <w:r>
        <w:rPr>
          <w:rFonts w:hint="eastAsia" w:ascii="Times New Roman" w:hAnsi="Times New Roman" w:eastAsia="仿宋_GB2312" w:cs="Times New Roman"/>
          <w:sz w:val="32"/>
          <w:szCs w:val="32"/>
          <w:lang w:val="en-US" w:eastAsia="zh-CN"/>
        </w:rPr>
        <w:t>通过对</w:t>
      </w:r>
      <w:r>
        <w:rPr>
          <w:rFonts w:hint="eastAsia" w:ascii="Times New Roman" w:hAnsi="Times New Roman" w:eastAsia="仿宋_GB2312" w:cs="Times New Roman"/>
          <w:sz w:val="32"/>
          <w:szCs w:val="32"/>
        </w:rPr>
        <w:t>电力、钢铁等高耗能产业的精准碳排放监测与数据分析，可有效支撑生产工艺优化和能源效率提升；在半导体、新能源汽车等高端制造领域，高精度测量是突破技术壁垒、保障产业链自主可控的核心要素，直接影响产品质量与技术创新能力。在民生领域，医疗设备、智能家居等计量器具的精准溯源是保障公众健康与生活安全的重要支撑，通过智慧计量技术可实现全生命周期监管。</w:t>
      </w:r>
    </w:p>
    <w:p w14:paraId="2D29CE10">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（二）传统计量体系的现实挑战</w:t>
      </w:r>
    </w:p>
    <w:p w14:paraId="25788EC4">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然而，随着新一轮科技革命和产业变革的快速发展，国际单位制（SI）量子化变革促使我国测量体系转型，传统计量体系面临着巨大变革压力</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多重挑战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部分实验室在数据结构化、智能化分析方面进展缓慢，人工校准占比高达70%，未完全实现检测流程自动化，纸质记录管理存在篡改风险，高端计量仪器长期依赖进口，核心部件“卡脖子”问题突出，制约了智慧计量实验室的效率提升。同时，现行计量器具强制检定制度受行政区划限制，导致跨区域计量结果互认困难。例如智能水表的“二检合一”试点仅在浙江、重庆等部分省份推行，数据孤岛问题导致计量数据利用率不足40%，跨平台协同成本增加约30%</w:t>
      </w:r>
      <w:r>
        <w:rPr>
          <w:rFonts w:hint="eastAsia" w:ascii="Times New Roman" w:hAnsi="Times New Roman" w:eastAsia="楷体" w:cs="Times New Roman"/>
          <w:bCs/>
          <w:sz w:val="32"/>
          <w:szCs w:val="32"/>
        </w:rPr>
        <w:t>，</w:t>
      </w:r>
      <w:r>
        <w:rPr>
          <w:rFonts w:hint="eastAsia" w:ascii="Times New Roman" w:hAnsi="Times New Roman" w:eastAsia="仿宋_GB2312" w:cs="Times New Roman"/>
          <w:sz w:val="32"/>
          <w:szCs w:val="32"/>
        </w:rPr>
        <w:t>影响计量数据的共享与应用。此外，智慧计量涉及计量、工信、市场监管等多部门，跨部门协同与地方政策执行还存在协调不足等问题。</w:t>
      </w:r>
    </w:p>
    <w:p w14:paraId="4768C922">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bookmarkStart w:id="5" w:name="OLE_LINK11"/>
      <w:bookmarkStart w:id="6" w:name="OLE_LINK10"/>
      <w:bookmarkStart w:id="7" w:name="OLE_LINK6"/>
      <w:bookmarkStart w:id="8" w:name="OLE_LINK5"/>
      <w:r>
        <w:rPr>
          <w:rFonts w:hint="eastAsia" w:ascii="Times New Roman" w:hAnsi="Times New Roman" w:eastAsia="楷体" w:cs="Times New Roman"/>
          <w:b w:val="0"/>
          <w:bCs w:val="0"/>
          <w:kern w:val="2"/>
          <w:sz w:val="32"/>
          <w:szCs w:val="32"/>
          <w:lang w:val="en-US" w:eastAsia="zh-CN" w:bidi="ar-SA"/>
        </w:rPr>
        <w:t>（三）国际竞争态势与战略压力</w:t>
      </w:r>
      <w:bookmarkEnd w:id="5"/>
      <w:bookmarkEnd w:id="6"/>
    </w:p>
    <w:p w14:paraId="742893FF">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放眼全球，</w:t>
      </w:r>
      <w:r>
        <w:rPr>
          <w:rFonts w:hint="eastAsia" w:ascii="Times New Roman" w:hAnsi="Times New Roman" w:eastAsia="仿宋_GB2312" w:cs="Times New Roman"/>
          <w:sz w:val="32"/>
          <w:szCs w:val="32"/>
        </w:rPr>
        <w:t>数字化转型也给各国带来了计量技术体系和治理模式的深刻变革，美欧等发达国家纷纷布局量子化时代的国家计量战略。在标准制定方面，美国国家标准与技术研究院（NIST）推动量子标准，在5G、人工智能等新兴技术领域占据核心标准制定权，其中</w:t>
      </w:r>
      <w:r>
        <w:rPr>
          <w:rFonts w:ascii="Times New Roman" w:hAnsi="Times New Roman" w:eastAsia="仿宋_GB2312" w:cs="Times New Roman"/>
          <w:sz w:val="32"/>
          <w:szCs w:val="32"/>
        </w:rPr>
        <w:t>通过“智能传感网络”布局工业物联网实时监测，主导了85%的工业物联网国际标准；欧盟构建“工业4.0计量体系”推动跨境数字证书互认，持有60%的工业4.0相关专利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抢占全球规则制定权。</w:t>
      </w:r>
      <w:r>
        <w:rPr>
          <w:rFonts w:hint="eastAsia" w:ascii="Times New Roman" w:hAnsi="Times New Roman" w:eastAsia="仿宋_GB2312" w:cs="Times New Roman"/>
          <w:sz w:val="32"/>
          <w:szCs w:val="32"/>
        </w:rPr>
        <w:t>而我国近年来在5G、物联网等新兴领域加快相关标准制定，但国际标准整体占比仍然较低，仅占约15%的全球标准提案，国际认可度有待提升。在技术专利布局方面，美国在量子传感、AI计量算法等前沿技术领域占据着全球40%以上的核心专利，其中英伟达、IBM等企业在AI驱动的计量技术方面遥遥领先，欧盟则持有全球35%的工业4.0相关专利，德国、法国企业在高精度传感器、智能制造计量设备方面优势明显。我国在人工智能相关专利2024年</w:t>
      </w:r>
      <w:r>
        <w:rPr>
          <w:rFonts w:hint="eastAsia" w:ascii="Times New Roman" w:hAnsi="Times New Roman" w:eastAsia="仿宋_GB2312" w:cs="Times New Roman"/>
          <w:sz w:val="32"/>
          <w:szCs w:val="32"/>
          <w:lang w:val="en-US" w:eastAsia="zh-CN"/>
        </w:rPr>
        <w:t>总数</w:t>
      </w:r>
      <w:r>
        <w:rPr>
          <w:rFonts w:hint="eastAsia" w:ascii="Times New Roman" w:hAnsi="Times New Roman" w:eastAsia="仿宋_GB2312" w:cs="Times New Roman"/>
          <w:sz w:val="32"/>
          <w:szCs w:val="32"/>
        </w:rPr>
        <w:t>占全球 61.5%，但在计量核心硬件（如量子传感器、高精度计量芯片）仍依赖进口，计量数据算法、量子基准等底层技术专利占比不足10%。此外，中国在国际计量组织（如BIPM、ISO）的提案通过率仍低于美欧，计量领域的国际竞争态势日益激烈，进一步凸显了我国智慧计量实验室建设的紧迫性，</w:t>
      </w:r>
      <w:r>
        <w:rPr>
          <w:rFonts w:ascii="Times New Roman" w:hAnsi="Times New Roman" w:eastAsia="仿宋_GB2312" w:cs="Times New Roman"/>
          <w:sz w:val="32"/>
          <w:szCs w:val="32"/>
        </w:rPr>
        <w:t>避免在新一轮产业竞争中处于被动，提升计量领域国际话语权</w:t>
      </w:r>
      <w:r>
        <w:rPr>
          <w:rFonts w:hint="eastAsia" w:ascii="Times New Roman" w:hAnsi="Times New Roman" w:eastAsia="仿宋_GB2312" w:cs="Times New Roman"/>
          <w:sz w:val="32"/>
          <w:szCs w:val="32"/>
        </w:rPr>
        <w:t>。</w:t>
      </w:r>
    </w:p>
    <w:p w14:paraId="5D505AF1">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上所述，面对传统计量体系的结构性困境与国际竞争压力，智慧计量实验室建设亟需突破三重倒逼机制：一是技术层面，人工校准主导的低效模式与进口依赖的硬件短板，迫使必须加快自主可控的智能传感技术与AI算法研发；二是制度层面，行政壁垒导致的数据孤岛与跨区域互认障碍，倒逼区块链存证与协同平台等制度创新；三是国际竞争层面，核心标准与专利的弱势地位，要求通过量子基准、动态量传等前沿技术突破实现弯道超车。因此，应构建"技术突破—制度创新—生态协同"的立体化实施路径，以系统性方案破解发展桎梏。</w:t>
      </w:r>
    </w:p>
    <w:bookmarkEnd w:id="0"/>
    <w:bookmarkEnd w:id="1"/>
    <w:bookmarkEnd w:id="7"/>
    <w:bookmarkEnd w:id="8"/>
    <w:p w14:paraId="379A9E89">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、实施路径：分阶段构建智慧计量体系架构</w:t>
      </w:r>
    </w:p>
    <w:p w14:paraId="3DF82F75">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Times New Roman"/>
          <w:b w:val="0"/>
          <w:bCs w:val="0"/>
          <w:kern w:val="2"/>
          <w:sz w:val="32"/>
          <w:szCs w:val="32"/>
          <w:lang w:val="en-US" w:eastAsia="zh-CN" w:bidi="ar-SA"/>
        </w:rPr>
        <w:t>（一）筑基赋能阶段（2024—2026年）：夯实数字化基础设施。</w:t>
      </w:r>
      <w:r>
        <w:rPr>
          <w:rFonts w:hint="eastAsia" w:ascii="Times New Roman" w:hAnsi="Times New Roman" w:eastAsia="仿宋_GB2312" w:cs="Times New Roman"/>
          <w:sz w:val="32"/>
          <w:szCs w:val="32"/>
        </w:rPr>
        <w:t>该阶段重点在基础建设与改革转型，其中数据安全与区域协同至关重要。</w:t>
      </w:r>
    </w:p>
    <w:p w14:paraId="69A236EE">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智能化设备改造</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在电力、医疗、制造等重点领域部署智能传感器与物联网模块，实现环境参数、设备状态的实时采集与动态传输，构建全域感知网络。同步推进实验室数字孪生平台建设，通过虚拟映射技术实现物理空间与数字空间的实时联动，优化资源配置与流程模拟。</w:t>
      </w:r>
    </w:p>
    <w:p w14:paraId="5C925773">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数据安全与区域协同</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开展区块链存证技术试点，建立校准数据上链机制，保障数据不可篡改与全流程追溯。推动京津冀、长三角、大湾区</w:t>
      </w:r>
      <w:r>
        <w:rPr>
          <w:rFonts w:hint="eastAsia" w:ascii="Times New Roman" w:hAnsi="Times New Roman" w:eastAsia="仿宋_GB2312" w:cs="Times New Roman"/>
          <w:sz w:val="32"/>
          <w:szCs w:val="32"/>
        </w:rPr>
        <w:t>、中国—东盟自贸区等</w:t>
      </w:r>
      <w:r>
        <w:rPr>
          <w:rFonts w:ascii="Times New Roman" w:hAnsi="Times New Roman" w:eastAsia="仿宋_GB2312" w:cs="Times New Roman"/>
          <w:sz w:val="32"/>
          <w:szCs w:val="32"/>
        </w:rPr>
        <w:t>建立跨区域计量数据共享平台，统一数据标准，实现检测结果互认，目标数据互通效率提升50%，降低区域间计量壁垒。</w:t>
      </w:r>
    </w:p>
    <w:p w14:paraId="636A3A3B">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Times New Roman"/>
          <w:b w:val="0"/>
          <w:bCs w:val="0"/>
          <w:kern w:val="2"/>
          <w:sz w:val="32"/>
          <w:szCs w:val="32"/>
          <w:lang w:val="en-US" w:eastAsia="zh-CN" w:bidi="ar-SA"/>
        </w:rPr>
        <w:t>（二）系统集成阶段（2027—2029年）：打通全链条数据闭环。</w:t>
      </w:r>
      <w:r>
        <w:rPr>
          <w:rFonts w:ascii="Times New Roman" w:hAnsi="Times New Roman" w:eastAsia="仿宋_GB2312" w:cs="Times New Roman"/>
          <w:sz w:val="32"/>
          <w:szCs w:val="32"/>
        </w:rPr>
        <w:t>新型测量技术和</w:t>
      </w:r>
      <w:r>
        <w:rPr>
          <w:rFonts w:hint="eastAsia" w:ascii="Times New Roman" w:hAnsi="Times New Roman" w:eastAsia="仿宋_GB2312" w:cs="Times New Roman"/>
          <w:sz w:val="32"/>
          <w:szCs w:val="32"/>
        </w:rPr>
        <w:t>人工智能技术的深度赋能将成为这一阶段的核心驱动力。</w:t>
      </w:r>
    </w:p>
    <w:p w14:paraId="19370D6A">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全流程数据融合</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构建贯穿设计、生产、检测的“数字主线”，整合多源异构数据，形成覆盖产品全生命周期的计量数据链。引入AR技术搭建远程协作平台，实现专家资源跨地域实时调度，提升复杂场景问题解决效率</w:t>
      </w:r>
      <w:r>
        <w:rPr>
          <w:rFonts w:hint="eastAsia" w:ascii="Times New Roman" w:hAnsi="Times New Roman" w:eastAsia="仿宋_GB2312" w:cs="Times New Roman"/>
          <w:sz w:val="32"/>
          <w:szCs w:val="32"/>
        </w:rPr>
        <w:t>；借鉴</w:t>
      </w:r>
      <w:r>
        <w:rPr>
          <w:rFonts w:ascii="Times New Roman" w:hAnsi="Times New Roman" w:eastAsia="仿宋_GB2312" w:cs="Times New Roman"/>
          <w:sz w:val="32"/>
          <w:szCs w:val="32"/>
        </w:rPr>
        <w:t>德国弗劳恩霍夫研究所的共享设备平台模式，提升资源利用效率。</w:t>
      </w:r>
    </w:p>
    <w:p w14:paraId="180C8536">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人工智能深度赋能</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开发基于机器学习的智能校准算法库，针对工业机器人、精密仪器等设备建立动态误差补偿模型，替代传统经验校准模式，提升校准自动化水平。探索AI在计量数据分析中的应用，通过模式识别、趋势预测等技术优化检测流程，降低人工干预成本。</w:t>
      </w:r>
    </w:p>
    <w:p w14:paraId="3A7DD7A1">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Times New Roman"/>
          <w:b w:val="0"/>
          <w:bCs w:val="0"/>
          <w:kern w:val="2"/>
          <w:sz w:val="32"/>
          <w:szCs w:val="32"/>
          <w:lang w:val="en-US" w:eastAsia="zh-CN" w:bidi="ar-SA"/>
        </w:rPr>
        <w:t>（三）智慧应用阶段（2030—2032年）：创新计量服务模式。</w:t>
      </w:r>
      <w:r>
        <w:rPr>
          <w:rFonts w:hint="eastAsia" w:ascii="Times New Roman" w:hAnsi="Times New Roman" w:eastAsia="仿宋_GB2312" w:cs="Times New Roman"/>
          <w:sz w:val="32"/>
          <w:szCs w:val="32"/>
        </w:rPr>
        <w:t>该阶段将逐步迈向更高层级的服务模式创新，为中小企业提供更灵活的服务支持。</w:t>
      </w:r>
    </w:p>
    <w:p w14:paraId="373C7D5E">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动态量传体系构建</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基于设备实时监测数据，建立“状态驱动型”校准机制，根据设备运行精度与可靠性动态调整校准周期，替代固定周期模式，降低企业运维成本。如在高铁制造、新能源装备等领域试点智能生产线嵌入式</w:t>
      </w:r>
      <w:r>
        <w:rPr>
          <w:rFonts w:hint="eastAsia" w:ascii="Times New Roman" w:hAnsi="Times New Roman" w:eastAsia="仿宋_GB2312" w:cs="Times New Roman"/>
          <w:sz w:val="32"/>
          <w:szCs w:val="32"/>
          <w:lang w:val="en-US" w:eastAsia="zh-CN"/>
        </w:rPr>
        <w:t>激光雷达测距等</w:t>
      </w:r>
      <w:r>
        <w:rPr>
          <w:rFonts w:ascii="Times New Roman" w:hAnsi="Times New Roman" w:eastAsia="仿宋_GB2312" w:cs="Times New Roman"/>
          <w:sz w:val="32"/>
          <w:szCs w:val="32"/>
        </w:rPr>
        <w:t>计量系统，实现生产过程实时质量管控。</w:t>
      </w:r>
    </w:p>
    <w:p w14:paraId="6F0D8F1E">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产业计量云平台建设</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打造集校准、检测、咨询于一体的在线服务平台，为中小企业提供</w:t>
      </w:r>
      <w:r>
        <w:rPr>
          <w:rFonts w:hint="eastAsia" w:ascii="Times New Roman" w:hAnsi="Times New Roman" w:eastAsia="仿宋_GB2312" w:cs="Times New Roman"/>
          <w:sz w:val="32"/>
          <w:szCs w:val="32"/>
          <w:lang w:val="en-US" w:eastAsia="zh-CN"/>
        </w:rPr>
        <w:t>模块化的增值服务，</w:t>
      </w:r>
      <w:r>
        <w:rPr>
          <w:rFonts w:ascii="Times New Roman" w:hAnsi="Times New Roman" w:eastAsia="仿宋_GB2312" w:cs="Times New Roman"/>
          <w:sz w:val="32"/>
          <w:szCs w:val="32"/>
        </w:rPr>
        <w:t>降低技术准入门槛。整合区域高端设备资源，建立共享经济模式，</w:t>
      </w:r>
      <w:r>
        <w:rPr>
          <w:rFonts w:hint="eastAsia" w:ascii="Times New Roman" w:hAnsi="Times New Roman" w:eastAsia="仿宋_GB2312" w:cs="Times New Roman"/>
          <w:sz w:val="32"/>
          <w:szCs w:val="32"/>
        </w:rPr>
        <w:t>提升</w:t>
      </w:r>
      <w:r>
        <w:rPr>
          <w:rFonts w:ascii="Times New Roman" w:hAnsi="Times New Roman" w:eastAsia="仿宋_GB2312" w:cs="Times New Roman"/>
          <w:sz w:val="32"/>
          <w:szCs w:val="32"/>
        </w:rPr>
        <w:t>设备利用率，缓解中小企业设备投资压力</w:t>
      </w:r>
      <w:r>
        <w:rPr>
          <w:rFonts w:hint="eastAsia" w:ascii="Times New Roman" w:hAnsi="Times New Roman" w:eastAsia="仿宋_GB2312" w:cs="Times New Roman"/>
          <w:sz w:val="32"/>
          <w:szCs w:val="32"/>
        </w:rPr>
        <w:t>，更</w:t>
      </w:r>
      <w:r>
        <w:rPr>
          <w:rFonts w:ascii="Times New Roman" w:hAnsi="Times New Roman" w:eastAsia="仿宋_GB2312" w:cs="Times New Roman"/>
          <w:sz w:val="32"/>
          <w:szCs w:val="32"/>
        </w:rPr>
        <w:t>快速准确的服务战略性新兴产业</w:t>
      </w:r>
      <w:r>
        <w:rPr>
          <w:rFonts w:hint="eastAsia" w:ascii="Times New Roman" w:hAnsi="Times New Roman" w:eastAsia="仿宋_GB2312" w:cs="Times New Roman"/>
          <w:sz w:val="32"/>
          <w:szCs w:val="32"/>
        </w:rPr>
        <w:t>和传统产业的一系列新要求。</w:t>
      </w:r>
    </w:p>
    <w:p w14:paraId="2D9B5475">
      <w:pPr>
        <w:pageBreakBefore w:val="0"/>
        <w:kinsoku/>
        <w:overflowPunct/>
        <w:topLinePunct w:val="0"/>
        <w:bidi w:val="0"/>
        <w:spacing w:line="560" w:lineRule="exact"/>
        <w:ind w:firstLine="640" w:firstLineChars="200"/>
        <w:rPr>
          <w:rFonts w:ascii="Times New Roman" w:hAnsi="Times New Roman" w:eastAsia="楷体" w:cs="Times New Roman"/>
          <w:b/>
          <w:bCs/>
          <w:sz w:val="32"/>
          <w:szCs w:val="32"/>
        </w:rPr>
      </w:pPr>
      <w:r>
        <w:rPr>
          <w:rFonts w:hint="eastAsia" w:ascii="Times New Roman" w:hAnsi="Times New Roman" w:eastAsia="楷体" w:cs="Times New Roman"/>
          <w:b w:val="0"/>
          <w:bCs w:val="0"/>
          <w:kern w:val="2"/>
          <w:sz w:val="32"/>
          <w:szCs w:val="32"/>
          <w:lang w:val="en-US" w:eastAsia="zh-CN" w:bidi="ar-SA"/>
        </w:rPr>
        <w:t>（四）</w:t>
      </w:r>
      <w:r>
        <w:rPr>
          <w:rFonts w:hint="default" w:ascii="Times New Roman" w:hAnsi="Times New Roman" w:eastAsia="楷体" w:cs="Times New Roman"/>
          <w:b w:val="0"/>
          <w:bCs w:val="0"/>
          <w:kern w:val="2"/>
          <w:sz w:val="32"/>
          <w:szCs w:val="32"/>
          <w:lang w:val="en-US" w:eastAsia="zh-CN" w:bidi="ar-SA"/>
        </w:rPr>
        <w:t>生态协同阶段（2033—2035年）：构建全球化计量生态。</w:t>
      </w:r>
      <w:r>
        <w:rPr>
          <w:rFonts w:ascii="Times New Roman" w:hAnsi="Times New Roman" w:eastAsia="仿宋_GB2312" w:cs="Times New Roman"/>
          <w:sz w:val="32"/>
          <w:szCs w:val="32"/>
        </w:rPr>
        <w:t>该阶段标志着</w:t>
      </w:r>
      <w:r>
        <w:rPr>
          <w:rFonts w:hint="eastAsia" w:ascii="Times New Roman" w:hAnsi="Times New Roman" w:eastAsia="仿宋_GB2312" w:cs="Times New Roman"/>
          <w:sz w:val="32"/>
          <w:szCs w:val="32"/>
        </w:rPr>
        <w:t>智慧计量将迈向全球化生态协同阶段，实现更广泛的国际影响力。</w:t>
      </w:r>
    </w:p>
    <w:p w14:paraId="2D9718DB">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跨境互认与标准输出</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推动“一带一路”沿线国家计量互认协议签订，</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RCEP框架下</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中国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东盟计量互认试点，推动数字证书跨境互认，目标覆盖80%沿线国家，减少贸易技术壁垒。依托中国计量院等科研院所和机构，联合企业开展国际计量规范和标准研究，推动中国计量技术与方案纳入全球治理体系。</w:t>
      </w:r>
    </w:p>
    <w:p w14:paraId="04B316B6">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国家级智能传感网络</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建设覆盖精密制造、环境监测、新能源等领域的高精度传感基准网络，构建“设备—数据—应用”一体化生态。强化碳排放、海洋动力装备等特色领域计量数据应用，支撑“双碳”政策落地与新兴产业发展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进一步巩固我国在全球计量领域的地位。</w:t>
      </w:r>
    </w:p>
    <w:bookmarkEnd w:id="2"/>
    <w:bookmarkEnd w:id="3"/>
    <w:p w14:paraId="2068B4F9">
      <w:pPr>
        <w:pageBreakBefore w:val="0"/>
        <w:kinsoku/>
        <w:overflowPunct/>
        <w:topLinePunct w:val="0"/>
        <w:bidi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三、创新机制：突破政策、模式与协同瓶颈</w:t>
      </w:r>
    </w:p>
    <w:p w14:paraId="56FF6EAC">
      <w:pPr>
        <w:pageBreakBefore w:val="0"/>
        <w:kinsoku/>
        <w:overflowPunct/>
        <w:topLinePunct w:val="0"/>
        <w:bidi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为实现上述目标，还需在政策、模式与协同机制上进行创新突破。</w:t>
      </w:r>
    </w:p>
    <w:p w14:paraId="3E4ADF10">
      <w:pPr>
        <w:pageBreakBefore w:val="0"/>
        <w:kinsoku/>
        <w:overflowPunct/>
        <w:topLinePunct w:val="0"/>
        <w:bidi w:val="0"/>
        <w:spacing w:line="56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楷体" w:cs="Times New Roman"/>
          <w:b w:val="0"/>
          <w:bCs w:val="0"/>
          <w:kern w:val="2"/>
          <w:sz w:val="32"/>
          <w:szCs w:val="32"/>
          <w:lang w:val="en-US" w:eastAsia="zh-CN" w:bidi="ar-SA"/>
        </w:rPr>
        <w:t>（一）制度创新：完善政策法规与管理体制</w:t>
      </w:r>
    </w:p>
    <w:p w14:paraId="04D203C8">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管理体制改革</w:t>
      </w:r>
      <w:r>
        <w:rPr>
          <w:rFonts w:hint="eastAsia" w:ascii="Times New Roman" w:hAnsi="Times New Roman" w:eastAsia="仿宋_GB2312" w:cs="Times New Roman"/>
          <w:sz w:val="32"/>
          <w:szCs w:val="32"/>
        </w:rPr>
        <w:t>方面</w:t>
      </w:r>
      <w:r>
        <w:rPr>
          <w:rFonts w:ascii="Times New Roman" w:hAnsi="Times New Roman" w:eastAsia="仿宋_GB2312" w:cs="Times New Roman"/>
          <w:sz w:val="32"/>
          <w:szCs w:val="32"/>
        </w:rPr>
        <w:t>推进实验室混合所有制改革，引入社会资本参与建设与运营，通过市场化机制激发创新活力。建立智慧计量实验室分类评价体系，制定《智慧计量实验室建设指南》《数据安全分级管理办法》等技术规范，填补标准空白；</w:t>
      </w:r>
      <w:r>
        <w:rPr>
          <w:rFonts w:hint="eastAsia" w:ascii="Times New Roman" w:hAnsi="Times New Roman" w:eastAsia="仿宋_GB2312" w:cs="Times New Roman"/>
          <w:sz w:val="32"/>
          <w:szCs w:val="32"/>
        </w:rPr>
        <w:t>在</w:t>
      </w:r>
      <w:r>
        <w:rPr>
          <w:rFonts w:ascii="Times New Roman" w:hAnsi="Times New Roman" w:eastAsia="仿宋_GB2312" w:cs="Times New Roman"/>
          <w:bCs/>
          <w:sz w:val="32"/>
          <w:szCs w:val="32"/>
        </w:rPr>
        <w:t>法律适配升级方面</w:t>
      </w:r>
      <w:r>
        <w:rPr>
          <w:rFonts w:ascii="Times New Roman" w:hAnsi="Times New Roman" w:eastAsia="仿宋_GB2312" w:cs="Times New Roman"/>
          <w:sz w:val="32"/>
          <w:szCs w:val="32"/>
        </w:rPr>
        <w:t>修订《计量法》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增设智能计量器具法律地位与数据电文</w:t>
      </w:r>
      <w:r>
        <w:rPr>
          <w:rFonts w:hint="eastAsia" w:ascii="Times New Roman" w:hAnsi="Times New Roman" w:eastAsia="仿宋_GB2312" w:cs="Times New Roman"/>
          <w:sz w:val="32"/>
          <w:szCs w:val="32"/>
          <w:lang w:val="en-US" w:eastAsia="zh-CN"/>
        </w:rPr>
        <w:t>的法律</w:t>
      </w:r>
      <w:r>
        <w:rPr>
          <w:rFonts w:ascii="Times New Roman" w:hAnsi="Times New Roman" w:eastAsia="仿宋_GB2312" w:cs="Times New Roman"/>
          <w:sz w:val="32"/>
          <w:szCs w:val="32"/>
        </w:rPr>
        <w:t>效力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专条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，参照《电子签名法》明确电子数据司法认证规则。出台《计量数据权属管理办法》，界定数据所有权、使用权与收益权，规范数据要素流通。</w:t>
      </w:r>
    </w:p>
    <w:p w14:paraId="6A782D2E">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 w:cs="Times New Roman"/>
          <w:b w:val="0"/>
          <w:bCs w:val="0"/>
          <w:kern w:val="2"/>
          <w:sz w:val="32"/>
          <w:szCs w:val="32"/>
          <w:lang w:val="en-US" w:eastAsia="zh-CN" w:bidi="ar-SA"/>
        </w:rPr>
        <w:t>（二）模式创新：激活市场主体与服务生态</w:t>
      </w:r>
    </w:p>
    <w:p w14:paraId="43580CA8">
      <w:pPr>
        <w:pageBreakBefore w:val="0"/>
        <w:kinsoku/>
        <w:overflowPunct/>
        <w:topLinePunct w:val="0"/>
        <w:bidi w:val="0"/>
        <w:spacing w:line="560" w:lineRule="exact"/>
        <w:ind w:firstLine="640" w:firstLineChars="200"/>
        <w:rPr>
          <w:rFonts w:hint="eastAsia" w:ascii="Times New Roman" w:hAnsi="Times New Roman" w:eastAsia="仿宋_GB2312" w:cs="Times New Roman"/>
          <w:bCs/>
          <w:sz w:val="32"/>
          <w:szCs w:val="32"/>
        </w:rPr>
      </w:pPr>
      <w:r>
        <w:rPr>
          <w:rFonts w:ascii="Times New Roman" w:hAnsi="Times New Roman" w:eastAsia="仿宋_GB2312" w:cs="Times New Roman"/>
          <w:sz w:val="32"/>
          <w:szCs w:val="32"/>
        </w:rPr>
        <w:t>建设区域性设备共享平台，借鉴德国PTB的"校准云"模式，推广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计量即服务（MaaS）</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的商业</w:t>
      </w:r>
      <w:r>
        <w:rPr>
          <w:rFonts w:ascii="Times New Roman" w:hAnsi="Times New Roman" w:eastAsia="仿宋_GB2312" w:cs="Times New Roman"/>
          <w:sz w:val="32"/>
          <w:szCs w:val="32"/>
        </w:rPr>
        <w:t>模式，</w:t>
      </w:r>
      <w:r>
        <w:rPr>
          <w:rFonts w:hint="eastAsia" w:ascii="Times New Roman" w:hAnsi="Times New Roman" w:eastAsia="仿宋_GB2312" w:cs="Times New Roman"/>
          <w:sz w:val="32"/>
          <w:szCs w:val="32"/>
          <w:lang w:val="en-US" w:eastAsia="zh-CN"/>
        </w:rPr>
        <w:t>提供</w:t>
      </w:r>
      <w:r>
        <w:rPr>
          <w:rFonts w:ascii="Times New Roman" w:hAnsi="Times New Roman" w:eastAsia="仿宋_GB2312" w:cs="Times New Roman"/>
          <w:sz w:val="32"/>
          <w:szCs w:val="32"/>
        </w:rPr>
        <w:t>按</w:t>
      </w:r>
      <w:r>
        <w:rPr>
          <w:rFonts w:hint="eastAsia" w:ascii="Times New Roman" w:hAnsi="Times New Roman" w:eastAsia="仿宋_GB2312" w:cs="Times New Roman"/>
          <w:sz w:val="32"/>
          <w:szCs w:val="32"/>
          <w:lang w:val="en-US" w:eastAsia="zh-CN"/>
        </w:rPr>
        <w:t>月/年度</w:t>
      </w:r>
      <w:r>
        <w:rPr>
          <w:rFonts w:ascii="Times New Roman" w:hAnsi="Times New Roman" w:eastAsia="仿宋_GB2312" w:cs="Times New Roman"/>
          <w:sz w:val="32"/>
          <w:szCs w:val="32"/>
        </w:rPr>
        <w:t>收费</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订阅式服务与</w:t>
      </w:r>
      <w:r>
        <w:rPr>
          <w:rFonts w:hint="eastAsia" w:ascii="Times New Roman" w:hAnsi="Times New Roman" w:eastAsia="仿宋_GB2312" w:cs="Times New Roman"/>
          <w:sz w:val="32"/>
          <w:szCs w:val="32"/>
          <w:lang w:val="en-US" w:eastAsia="zh-CN"/>
        </w:rPr>
        <w:t>资源</w:t>
      </w:r>
      <w:r>
        <w:rPr>
          <w:rFonts w:ascii="Times New Roman" w:hAnsi="Times New Roman" w:eastAsia="仿宋_GB2312" w:cs="Times New Roman"/>
          <w:sz w:val="32"/>
          <w:szCs w:val="32"/>
        </w:rPr>
        <w:t>共享</w:t>
      </w:r>
      <w:r>
        <w:rPr>
          <w:rFonts w:hint="eastAsia" w:ascii="Times New Roman" w:hAnsi="Times New Roman" w:eastAsia="仿宋_GB2312" w:cs="Times New Roman"/>
          <w:sz w:val="32"/>
          <w:szCs w:val="32"/>
          <w:lang w:val="en-US" w:eastAsia="zh-CN"/>
        </w:rPr>
        <w:t>的增值服务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促使企业按需采购校准、检测等模块化服务，降低固定成本投入。建设区域性设备共享平台，通过物联网技术实现高端仪器设备的在线预约与协同使用，提升资源利用效率。</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组建“政产学研用”五方联动的国家级智慧计量创新联盟，</w:t>
      </w:r>
      <w:r>
        <w:rPr>
          <w:rFonts w:hint="eastAsia" w:ascii="Times New Roman" w:hAnsi="Times New Roman" w:eastAsia="仿宋_GB2312" w:cs="Times New Roman"/>
          <w:sz w:val="32"/>
          <w:szCs w:val="32"/>
        </w:rPr>
        <w:t>使之成为推动智慧计量发展的重要抓手。</w:t>
      </w:r>
      <w:r>
        <w:rPr>
          <w:rFonts w:ascii="Times New Roman" w:hAnsi="Times New Roman" w:eastAsia="仿宋_GB2312" w:cs="Times New Roman"/>
          <w:sz w:val="32"/>
          <w:szCs w:val="32"/>
        </w:rPr>
        <w:t>聚焦关键共性技术攻关与成果转化。推动龙头企业与高校、科研机构共建联合智慧实验室，加速AI算法、数字孪生等技术落地应用</w:t>
      </w:r>
      <w:r>
        <w:rPr>
          <w:rFonts w:hint="eastAsia" w:ascii="Times New Roman" w:hAnsi="Times New Roman" w:eastAsia="仿宋_GB2312" w:cs="Times New Roman"/>
          <w:bCs/>
          <w:sz w:val="32"/>
          <w:szCs w:val="32"/>
        </w:rPr>
        <w:t>，进一步释放智慧计量的潜力。</w:t>
      </w:r>
    </w:p>
    <w:p w14:paraId="755AF380">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（三）协同创新：构建开放型技术合作网络</w:t>
      </w:r>
    </w:p>
    <w:p w14:paraId="61A3080C">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一方面开展</w:t>
      </w:r>
      <w:r>
        <w:rPr>
          <w:rFonts w:ascii="Times New Roman" w:hAnsi="Times New Roman" w:eastAsia="仿宋_GB2312" w:cs="Times New Roman"/>
          <w:bCs/>
          <w:sz w:val="32"/>
          <w:szCs w:val="32"/>
        </w:rPr>
        <w:t>跨境数据安全共享</w:t>
      </w:r>
      <w:r>
        <w:rPr>
          <w:rFonts w:hint="eastAsia" w:ascii="Times New Roman" w:hAnsi="Times New Roman" w:eastAsia="仿宋_GB2312" w:cs="Times New Roman"/>
          <w:bCs/>
          <w:sz w:val="32"/>
          <w:szCs w:val="32"/>
        </w:rPr>
        <w:t>，利用</w:t>
      </w:r>
      <w:r>
        <w:rPr>
          <w:rFonts w:ascii="Times New Roman" w:hAnsi="Times New Roman" w:eastAsia="仿宋_GB2312" w:cs="Times New Roman"/>
          <w:sz w:val="32"/>
          <w:szCs w:val="32"/>
        </w:rPr>
        <w:t>隐私计算、联邦学习等技术，在保障数据主权前提下实现跨境计量数据安全流通，可参考欧盟《数据治理法案》构建合规框架，从而</w:t>
      </w:r>
      <w:r>
        <w:rPr>
          <w:rFonts w:hint="eastAsia" w:ascii="Times New Roman" w:hAnsi="Times New Roman" w:eastAsia="仿宋_GB2312" w:cs="Times New Roman"/>
          <w:sz w:val="32"/>
          <w:szCs w:val="32"/>
        </w:rPr>
        <w:t>促进更广泛的国际合作与资源共享</w:t>
      </w:r>
      <w:r>
        <w:rPr>
          <w:rFonts w:ascii="Times New Roman" w:hAnsi="Times New Roman" w:eastAsia="仿宋_GB2312" w:cs="Times New Roman"/>
          <w:sz w:val="32"/>
          <w:szCs w:val="32"/>
        </w:rPr>
        <w:t>。加强与国际计量组织合作，参与全球计量规则制定，提升中国标准影响力。</w:t>
      </w:r>
      <w:r>
        <w:rPr>
          <w:rFonts w:hint="eastAsia" w:ascii="Times New Roman" w:hAnsi="Times New Roman" w:eastAsia="仿宋_GB2312" w:cs="Times New Roman"/>
          <w:sz w:val="32"/>
          <w:szCs w:val="32"/>
        </w:rPr>
        <w:t>另一方面加强</w:t>
      </w:r>
      <w:r>
        <w:rPr>
          <w:rFonts w:ascii="Times New Roman" w:hAnsi="Times New Roman" w:eastAsia="仿宋_GB2312" w:cs="Times New Roman"/>
          <w:bCs/>
          <w:sz w:val="32"/>
          <w:szCs w:val="32"/>
        </w:rPr>
        <w:t>区域与产业协</w:t>
      </w:r>
      <w:r>
        <w:rPr>
          <w:rFonts w:hint="eastAsia" w:ascii="Times New Roman" w:hAnsi="Times New Roman" w:eastAsia="仿宋_GB2312" w:cs="Times New Roman"/>
          <w:sz w:val="32"/>
          <w:szCs w:val="32"/>
        </w:rPr>
        <w:t>同，在西部陆海新通道沿线、粤港澳大湾区等区域部署与国家战略相符合的智慧计量实验室应用集群，</w:t>
      </w:r>
      <w:r>
        <w:rPr>
          <w:rFonts w:ascii="Times New Roman" w:hAnsi="Times New Roman" w:eastAsia="仿宋_GB2312" w:cs="Times New Roman"/>
          <w:sz w:val="32"/>
          <w:szCs w:val="32"/>
        </w:rPr>
        <w:t>形成</w:t>
      </w:r>
      <w:r>
        <w:rPr>
          <w:rFonts w:hint="eastAsia" w:ascii="Times New Roman" w:hAnsi="Times New Roman" w:eastAsia="仿宋_GB2312" w:cs="Times New Roman"/>
          <w:sz w:val="32"/>
          <w:szCs w:val="32"/>
        </w:rPr>
        <w:t>区域</w:t>
      </w:r>
      <w:r>
        <w:rPr>
          <w:rFonts w:ascii="Times New Roman" w:hAnsi="Times New Roman" w:eastAsia="仿宋_GB2312" w:cs="Times New Roman"/>
          <w:sz w:val="32"/>
          <w:szCs w:val="32"/>
        </w:rPr>
        <w:t>技术辐射效应。针对智能制造、智慧医疗等产业集群，建立定制化智慧计量服务方案，推动计量技术与产业需求深度融合</w:t>
      </w:r>
      <w:r>
        <w:rPr>
          <w:rFonts w:hint="eastAsia" w:ascii="Times New Roman" w:hAnsi="Times New Roman" w:eastAsia="仿宋_GB2312" w:cs="Times New Roman"/>
          <w:sz w:val="32"/>
          <w:szCs w:val="32"/>
        </w:rPr>
        <w:t>，进一步放大智慧计量的价值。</w:t>
      </w:r>
    </w:p>
    <w:p w14:paraId="10B8BCE4">
      <w:pPr>
        <w:pageBreakBefore w:val="0"/>
        <w:kinsoku/>
        <w:overflowPunct/>
        <w:topLinePunct w:val="0"/>
        <w:bidi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四、保障体系：筑牢高质量发展支撑架构</w:t>
      </w:r>
    </w:p>
    <w:p w14:paraId="7DC9F927">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智慧计量实验室的建设离不开系统性保障措施，需从资金、安全、人才、评估等多维度构建支撑架构。</w:t>
      </w:r>
    </w:p>
    <w:p w14:paraId="50660B0A">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（一）多元化资金保障</w:t>
      </w:r>
    </w:p>
    <w:p w14:paraId="56E09EA6">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设立“智慧计量发展基金”，中央与地方按1:1比例配套，重点支持物联网、区块链、AI等核心技术研发。探索设备资产证券化（ABS）、知识产权质押融资等金融工具，激活存量资源价值，引导社会资本投入。</w:t>
      </w:r>
    </w:p>
    <w:p w14:paraId="6541D336">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（二）立体化安全防护</w:t>
      </w:r>
    </w:p>
    <w:p w14:paraId="094AE889">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安全防护体系的建设直接关系到智慧计量系统的稳定运行。应</w:t>
      </w:r>
      <w:r>
        <w:rPr>
          <w:rFonts w:ascii="Times New Roman" w:hAnsi="Times New Roman" w:eastAsia="仿宋_GB2312" w:cs="Times New Roman"/>
          <w:sz w:val="32"/>
          <w:szCs w:val="32"/>
        </w:rPr>
        <w:t>构建“设备—网络—数据”三级安全架构，实施设备准入认证、数据传输加密、操作权限分级管理。建立国家级计量数据安全中心，完善网络攻击预警、数据泄露应急响应机制，保障系统稳定运行与数据安全。</w:t>
      </w:r>
    </w:p>
    <w:p w14:paraId="2E326AF2">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（三）专业化人才培育</w:t>
      </w:r>
    </w:p>
    <w:p w14:paraId="324A58CE">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安全体系的落地实施，需要专业化人才队伍的支撑。</w:t>
      </w:r>
      <w:r>
        <w:rPr>
          <w:rFonts w:ascii="Times New Roman" w:hAnsi="Times New Roman" w:eastAsia="仿宋_GB2312" w:cs="Times New Roman"/>
          <w:sz w:val="32"/>
          <w:szCs w:val="32"/>
        </w:rPr>
        <w:t>在高校设立“智能计量工程”交叉学科，整合计量学、人工智能、大数据等课程体系，培养复合型人才。实施“计量引智计划”，引进海外高端团队与领军人才，建立国际联合实验室，提升原始创新能力。</w:t>
      </w:r>
    </w:p>
    <w:p w14:paraId="64DD22CA">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（四）动态化评估机制</w:t>
      </w:r>
    </w:p>
    <w:p w14:paraId="023067F8">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为确保建设成效，还需建立动态化的评估与调整机制。制定</w:t>
      </w:r>
      <w:r>
        <w:rPr>
          <w:rFonts w:ascii="Times New Roman" w:hAnsi="Times New Roman" w:eastAsia="仿宋_GB2312" w:cs="Times New Roman"/>
          <w:sz w:val="32"/>
          <w:szCs w:val="32"/>
        </w:rPr>
        <w:t>“智慧计量发展指数”，从技术创新、应用成效、产业协同等维度构建评估体系，每季度发布建设报告，精准识别瓶颈问题。成立国家智慧计量领导小组，统筹跨部门资源调配，强化政策协同与实施督导。</w:t>
      </w:r>
    </w:p>
    <w:p w14:paraId="088C6B14">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五、典型应用场景与成效展望</w:t>
      </w:r>
    </w:p>
    <w:p w14:paraId="03D01577">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通过以上措施和保障体系，最终将智慧计量实验室的建设成果转化为具体领域的应用价值与社会效益。</w:t>
      </w:r>
    </w:p>
    <w:p w14:paraId="69109359">
      <w:pPr>
        <w:pageBreakBefore w:val="0"/>
        <w:kinsoku/>
        <w:overflowPunct/>
        <w:topLinePunct w:val="0"/>
        <w:bidi w:val="0"/>
        <w:spacing w:line="560" w:lineRule="exact"/>
        <w:ind w:firstLine="640" w:firstLineChars="200"/>
        <w:rPr>
          <w:rFonts w:ascii="Times New Roman" w:hAnsi="Times New Roman" w:eastAsia="楷体" w:cs="Times New Roman"/>
          <w:b/>
          <w:bCs/>
          <w:sz w:val="32"/>
          <w:szCs w:val="32"/>
        </w:rPr>
      </w:pPr>
      <w:r>
        <w:rPr>
          <w:rFonts w:hint="eastAsia" w:ascii="Times New Roman" w:hAnsi="Times New Roman" w:eastAsia="楷体" w:cs="Times New Roman"/>
          <w:b w:val="0"/>
          <w:bCs w:val="0"/>
          <w:kern w:val="2"/>
          <w:sz w:val="32"/>
          <w:szCs w:val="32"/>
          <w:lang w:val="en-US" w:eastAsia="zh-CN" w:bidi="ar-SA"/>
        </w:rPr>
        <w:t>（一）重点领域示范工程</w:t>
      </w:r>
    </w:p>
    <w:p w14:paraId="2A3DA845">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智能制造：</w:t>
      </w:r>
      <w:r>
        <w:rPr>
          <w:rFonts w:ascii="Times New Roman" w:hAnsi="Times New Roman" w:eastAsia="仿宋_GB2312" w:cs="Times New Roman"/>
          <w:sz w:val="32"/>
          <w:szCs w:val="32"/>
        </w:rPr>
        <w:t>在工业机器人、半导体制造领域部署嵌入式计量系统，实现生产过程实时精度控制，提升高端装备制造良品率。</w:t>
      </w:r>
    </w:p>
    <w:p w14:paraId="7BB0393F">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智慧医疗：</w:t>
      </w:r>
      <w:r>
        <w:rPr>
          <w:rFonts w:ascii="Times New Roman" w:hAnsi="Times New Roman" w:eastAsia="仿宋_GB2312" w:cs="Times New Roman"/>
          <w:sz w:val="32"/>
          <w:szCs w:val="32"/>
        </w:rPr>
        <w:t>构建CT机、呼吸机等医疗设备数字孪生模型，动态监测设备计量性能，保障精准诊疗；建立医用计量器具全链条溯源平台，提升医疗安全保障能力。</w:t>
      </w:r>
    </w:p>
    <w:p w14:paraId="7FFF9F23">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双碳监测：</w:t>
      </w:r>
      <w:r>
        <w:rPr>
          <w:rFonts w:ascii="Times New Roman" w:hAnsi="Times New Roman" w:eastAsia="仿宋_GB2312" w:cs="Times New Roman"/>
          <w:sz w:val="32"/>
          <w:szCs w:val="32"/>
        </w:rPr>
        <w:t>建设覆盖能源、工业、交通等领域的碳排放智慧计量网络，为碳核查、碳交易提供数据支撑，助力“双碳”目标量化管理。以广西为试点与东盟国家合作开展跨境碳计量合作</w:t>
      </w:r>
      <w:r>
        <w:rPr>
          <w:rFonts w:hint="eastAsia" w:ascii="Times New Roman" w:hAnsi="Times New Roman" w:eastAsia="仿宋_GB2312" w:cs="Times New Roman"/>
          <w:sz w:val="32"/>
          <w:szCs w:val="32"/>
        </w:rPr>
        <w:t>，使</w:t>
      </w:r>
      <w:r>
        <w:rPr>
          <w:rFonts w:ascii="Times New Roman" w:hAnsi="Times New Roman" w:eastAsia="仿宋_GB2312" w:cs="Times New Roman"/>
          <w:sz w:val="32"/>
          <w:szCs w:val="32"/>
        </w:rPr>
        <w:t>计量数据直接服务于碳交易市场的配额核定与核查</w:t>
      </w:r>
      <w:r>
        <w:rPr>
          <w:rFonts w:hint="eastAsia" w:ascii="Times New Roman" w:hAnsi="Times New Roman" w:eastAsia="仿宋_GB2312" w:cs="Times New Roman"/>
          <w:sz w:val="32"/>
          <w:szCs w:val="32"/>
        </w:rPr>
        <w:t>。</w:t>
      </w:r>
    </w:p>
    <w:p w14:paraId="03AD66AF">
      <w:pPr>
        <w:pageBreakBefore w:val="0"/>
        <w:kinsoku/>
        <w:overflowPunct/>
        <w:topLinePunct w:val="0"/>
        <w:bidi w:val="0"/>
        <w:spacing w:line="560" w:lineRule="exact"/>
        <w:ind w:firstLine="640" w:firstLineChars="200"/>
        <w:rPr>
          <w:rFonts w:hint="eastAsia"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（二）经济社会效益预期</w:t>
      </w:r>
    </w:p>
    <w:p w14:paraId="7168B58C">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效率提升：</w:t>
      </w:r>
      <w:r>
        <w:rPr>
          <w:rFonts w:ascii="Times New Roman" w:hAnsi="Times New Roman" w:eastAsia="仿宋_GB2312" w:cs="Times New Roman"/>
          <w:sz w:val="32"/>
          <w:szCs w:val="32"/>
        </w:rPr>
        <w:t>通过自动化校准与数据共享，实验室运营成本降低30%以上，校准周期缩短40%，显著提升计量服务响应速度。</w:t>
      </w:r>
    </w:p>
    <w:p w14:paraId="7AA2317A">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质量跃升：</w:t>
      </w:r>
      <w:r>
        <w:rPr>
          <w:rFonts w:ascii="Times New Roman" w:hAnsi="Times New Roman" w:eastAsia="仿宋_GB2312" w:cs="Times New Roman"/>
          <w:sz w:val="32"/>
          <w:szCs w:val="32"/>
        </w:rPr>
        <w:t>量值传递不确定度降至10</w:t>
      </w:r>
      <w:r>
        <w:rPr>
          <w:rFonts w:hint="eastAsia" w:ascii="Times New Roman" w:hAnsi="Times New Roman" w:eastAsia="仿宋_GB2312" w:cs="Times New Roman"/>
          <w:sz w:val="32"/>
          <w:szCs w:val="32"/>
          <w:vertAlign w:val="superscript"/>
        </w:rPr>
        <w:t>-9</w:t>
      </w:r>
      <w:r>
        <w:rPr>
          <w:rFonts w:ascii="Times New Roman" w:hAnsi="Times New Roman" w:eastAsia="仿宋_GB2312" w:cs="Times New Roman"/>
          <w:sz w:val="32"/>
          <w:szCs w:val="32"/>
        </w:rPr>
        <w:t>级，支撑纳米级精度测量与精准医疗，推动高端制造与前沿科技发展。</w:t>
      </w:r>
    </w:p>
    <w:p w14:paraId="7418981E">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国际影响：</w:t>
      </w:r>
      <w:r>
        <w:rPr>
          <w:rFonts w:ascii="Times New Roman" w:hAnsi="Times New Roman" w:eastAsia="仿宋_GB2312" w:cs="Times New Roman"/>
          <w:sz w:val="32"/>
          <w:szCs w:val="32"/>
        </w:rPr>
        <w:t>主导制定10项以上国际计量标准，推动中国计量认证结果在“一带一路”沿线国家互认，提升全球治理话语权。</w:t>
      </w:r>
    </w:p>
    <w:p w14:paraId="5D3125A2">
      <w:pPr>
        <w:pageBreakBefore w:val="0"/>
        <w:kinsoku/>
        <w:overflowPunct/>
        <w:topLinePunct w:val="0"/>
        <w:bidi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六、总结与战略展望</w:t>
      </w:r>
    </w:p>
    <w:p w14:paraId="0BDCC625">
      <w:pPr>
        <w:pageBreakBefore w:val="0"/>
        <w:kinsoku/>
        <w:overflowPunct/>
        <w:topLinePunct w:val="0"/>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综上，智慧计量实验室建设是一项系统工程，需要清晰的战略定位与分阶段实施路径。</w:t>
      </w:r>
      <w:r>
        <w:rPr>
          <w:rFonts w:ascii="Times New Roman" w:hAnsi="Times New Roman" w:eastAsia="仿宋_GB2312" w:cs="Times New Roman"/>
          <w:sz w:val="32"/>
          <w:szCs w:val="32"/>
        </w:rPr>
        <w:t>智慧计量实验室建设是驱动市场监管现代化、支撑高质量发展的核心工程，需遵循“技术筑基—系统集成—生态拓展”的演进逻辑，通过政策、技术、模式的协同创新，构建具有全球竞争力的计量生态体系。</w:t>
      </w:r>
    </w:p>
    <w:p w14:paraId="7FD0F450">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近期（2024—2026年）：</w:t>
      </w:r>
      <w:r>
        <w:rPr>
          <w:rFonts w:hint="eastAsia" w:ascii="Times New Roman" w:hAnsi="Times New Roman" w:eastAsia="仿宋_GB2312" w:cs="Times New Roman"/>
          <w:b/>
          <w:bCs/>
          <w:sz w:val="32"/>
          <w:szCs w:val="32"/>
        </w:rPr>
        <w:t>重在打好基础，形成示范效应。</w:t>
      </w:r>
      <w:r>
        <w:rPr>
          <w:rFonts w:ascii="Times New Roman" w:hAnsi="Times New Roman" w:eastAsia="仿宋_GB2312" w:cs="Times New Roman"/>
          <w:sz w:val="32"/>
          <w:szCs w:val="32"/>
        </w:rPr>
        <w:t>完成核心标准制定，建成京津冀、长三角</w:t>
      </w:r>
      <w:r>
        <w:rPr>
          <w:rFonts w:hint="eastAsia" w:ascii="Times New Roman" w:hAnsi="Times New Roman" w:eastAsia="仿宋_GB2312" w:cs="Times New Roman"/>
          <w:sz w:val="32"/>
          <w:szCs w:val="32"/>
        </w:rPr>
        <w:t>、中国—东盟自贸区</w:t>
      </w:r>
      <w:r>
        <w:rPr>
          <w:rFonts w:ascii="Times New Roman" w:hAnsi="Times New Roman" w:eastAsia="仿宋_GB2312" w:cs="Times New Roman"/>
          <w:sz w:val="32"/>
          <w:szCs w:val="32"/>
        </w:rPr>
        <w:t>等区域示范实验室，初步形成技术验证与模式输出能力。</w:t>
      </w:r>
    </w:p>
    <w:p w14:paraId="39B8F207">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中期（2027—2030年）：</w:t>
      </w:r>
      <w:r>
        <w:rPr>
          <w:rFonts w:hint="eastAsia" w:ascii="Times New Roman" w:hAnsi="Times New Roman" w:eastAsia="仿宋_GB2312" w:cs="Times New Roman"/>
          <w:b/>
          <w:bCs/>
          <w:sz w:val="32"/>
          <w:szCs w:val="32"/>
        </w:rPr>
        <w:t>实现规模化应用与国际化拓展。</w:t>
      </w:r>
      <w:r>
        <w:rPr>
          <w:rFonts w:ascii="Times New Roman" w:hAnsi="Times New Roman" w:eastAsia="仿宋_GB2312" w:cs="Times New Roman"/>
          <w:sz w:val="32"/>
          <w:szCs w:val="32"/>
        </w:rPr>
        <w:t>培育50家以上国家计量数据应用中心，推动百家龙头企业数字化转型，“一带一路”沿线覆盖30个国家。</w:t>
      </w:r>
    </w:p>
    <w:p w14:paraId="220ECF42">
      <w:pPr>
        <w:pageBreakBefore w:val="0"/>
        <w:kinsoku/>
        <w:overflowPunct/>
        <w:topLinePunct w:val="0"/>
        <w:bidi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远景（2031—2035年）：</w:t>
      </w:r>
      <w:r>
        <w:rPr>
          <w:rFonts w:hint="eastAsia" w:ascii="Times New Roman" w:hAnsi="Times New Roman" w:eastAsia="仿宋_GB2312" w:cs="Times New Roman"/>
          <w:b/>
          <w:bCs/>
          <w:sz w:val="32"/>
          <w:szCs w:val="32"/>
        </w:rPr>
        <w:t>实现从跟随到引领的历史性跨越。</w:t>
      </w:r>
      <w:r>
        <w:rPr>
          <w:rFonts w:ascii="Times New Roman" w:hAnsi="Times New Roman" w:eastAsia="仿宋_GB2312" w:cs="Times New Roman"/>
          <w:sz w:val="32"/>
          <w:szCs w:val="32"/>
        </w:rPr>
        <w:t>建成全球智慧计量网络，主导修订国际计量互认协议，实现从“计量大国”向“计量强国”的跨越。</w:t>
      </w:r>
    </w:p>
    <w:p w14:paraId="626CA5AD">
      <w:pPr>
        <w:pageBreakBefore w:val="0"/>
        <w:kinsoku/>
        <w:overflowPunct/>
        <w:topLinePunct w:val="0"/>
        <w:bidi w:val="0"/>
        <w:spacing w:line="560" w:lineRule="exact"/>
        <w:ind w:firstLine="640" w:firstLineChars="200"/>
        <w:rPr>
          <w:rFonts w:hint="eastAsia"/>
          <w:lang w:val="en-US" w:eastAsia="zh-CN"/>
        </w:rPr>
      </w:pPr>
      <w:r>
        <w:rPr>
          <w:rFonts w:ascii="Times New Roman" w:hAnsi="Times New Roman" w:eastAsia="仿宋_GB2312" w:cs="Times New Roman"/>
          <w:sz w:val="32"/>
          <w:szCs w:val="32"/>
        </w:rPr>
        <w:t>通过持续推进“技术驱动、制度保障、生态协同”的立体化建设路径，最终智慧计量实验室将成为中国式现代化的“数字度量衡”，</w:t>
      </w:r>
      <w:r>
        <w:rPr>
          <w:rFonts w:hint="eastAsia" w:ascii="Calibri" w:hAnsi="Calibri"/>
        </w:rPr>
        <w:t xml:space="preserve"> </w:t>
      </w:r>
      <w:r>
        <w:rPr>
          <w:rFonts w:hint="eastAsia" w:ascii="Times New Roman" w:hAnsi="Times New Roman" w:eastAsia="仿宋_GB2312" w:cs="Times New Roman"/>
          <w:sz w:val="32"/>
          <w:szCs w:val="32"/>
        </w:rPr>
        <w:t>成为中国高质量发展的关键基础设施，成</w:t>
      </w:r>
      <w:r>
        <w:rPr>
          <w:rFonts w:ascii="Times New Roman" w:hAnsi="Times New Roman" w:eastAsia="仿宋_GB2312" w:cs="Times New Roman"/>
          <w:sz w:val="32"/>
          <w:szCs w:val="32"/>
        </w:rPr>
        <w:t>为全球计量治理贡献中国方案，助力构建创新驱动、安全可靠、开放包容的高质量发展新图景。</w:t>
      </w:r>
      <w:bookmarkEnd w:id="4"/>
    </w:p>
    <w:p w14:paraId="27BDC2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1CDAD0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46E4C0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平台经济损害竞争行为对消费者权益的</w:t>
      </w:r>
    </w:p>
    <w:p w14:paraId="7B7031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影响及救济措施</w:t>
      </w:r>
    </w:p>
    <w:p w14:paraId="596A20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作者：齐思源 广西壮族自治区市场监督管理局综合改革处 二级主任科员</w:t>
      </w:r>
    </w:p>
    <w:p w14:paraId="4B5564F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p>
    <w:p w14:paraId="737CE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 xml:space="preserve"> 一、</w:t>
      </w:r>
      <w:r>
        <w:rPr>
          <w:rFonts w:hint="eastAsia" w:ascii="黑体" w:hAnsi="黑体" w:eastAsia="黑体" w:cs="黑体"/>
          <w:color w:val="auto"/>
          <w:sz w:val="32"/>
          <w:szCs w:val="32"/>
          <w:lang w:eastAsia="zh-CN"/>
        </w:rPr>
        <w:t>平台经济中损害消费者权益的行为类型</w:t>
      </w:r>
    </w:p>
    <w:p w14:paraId="48972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平台</w:t>
      </w:r>
      <w:r>
        <w:rPr>
          <w:rFonts w:hint="eastAsia" w:ascii="仿宋_GB2312" w:hAnsi="仿宋_GB2312" w:eastAsia="仿宋_GB2312" w:cs="仿宋_GB2312"/>
          <w:color w:val="auto"/>
          <w:sz w:val="32"/>
          <w:szCs w:val="32"/>
        </w:rPr>
        <w:t>经济发展的背景下，京东、阿里、抖音等平台应运而生。然而，部分平台凭借</w:t>
      </w:r>
      <w:r>
        <w:rPr>
          <w:rFonts w:hint="eastAsia" w:ascii="仿宋_GB2312" w:hAnsi="仿宋_GB2312" w:eastAsia="仿宋_GB2312" w:cs="仿宋_GB2312"/>
          <w:color w:val="auto"/>
          <w:sz w:val="32"/>
          <w:szCs w:val="32"/>
          <w:lang w:eastAsia="zh-CN"/>
        </w:rPr>
        <w:t>不正当竞争行为或</w:t>
      </w:r>
      <w:r>
        <w:rPr>
          <w:rFonts w:hint="eastAsia" w:ascii="仿宋_GB2312" w:hAnsi="仿宋_GB2312" w:eastAsia="仿宋_GB2312" w:cs="仿宋_GB2312"/>
          <w:color w:val="auto"/>
          <w:sz w:val="32"/>
          <w:szCs w:val="32"/>
        </w:rPr>
        <w:t>垄断地位，在运营过程中出现了损害消费者权益的行为，这些行为大致可归为</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rPr>
        <w:t>类：</w:t>
      </w:r>
    </w:p>
    <w:p w14:paraId="51F5ED2A">
      <w:pPr>
        <w:keepNext w:val="0"/>
        <w:keepLines w:val="0"/>
        <w:pageBreakBefore w:val="0"/>
        <w:widowControl w:val="0"/>
        <w:kinsoku/>
        <w:wordWrap/>
        <w:overflowPunct/>
        <w:topLinePunct w:val="0"/>
        <w:autoSpaceDE/>
        <w:autoSpaceDN/>
        <w:bidi w:val="0"/>
        <w:adjustRightInd/>
        <w:snapToGrid/>
        <w:spacing w:line="560" w:lineRule="exact"/>
        <w:ind w:firstLine="599"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pacing w:val="-11"/>
          <w:sz w:val="32"/>
          <w:szCs w:val="32"/>
          <w:lang w:val="en-US" w:eastAsia="zh-CN"/>
        </w:rPr>
        <w:t>不正当竞争行为造成的损害。</w:t>
      </w:r>
      <w:r>
        <w:rPr>
          <w:rFonts w:hint="eastAsia" w:ascii="仿宋_GB2312" w:hAnsi="仿宋_GB2312" w:eastAsia="仿宋_GB2312" w:cs="仿宋_GB2312"/>
          <w:b w:val="0"/>
          <w:bCs w:val="0"/>
          <w:color w:val="auto"/>
          <w:sz w:val="32"/>
          <w:szCs w:val="32"/>
          <w:lang w:eastAsia="zh-CN"/>
        </w:rPr>
        <w:t>一是部分企业和平台对商品的性能、功能等作虚假宣传，欺骗、误导消费者。以广西南宁菌云宝健康产业有限公司为例，该公司在网络平台大肆宣称其销售的“优羚高钙初乳羊乳粉”具有增强免疫力、治疗糖尿病等神奇功效，利用老年人对健康的高度关注，通过夸大其词的宣传话术，诱导他们以远超市场价的价格购买产品。二是部分平台利用虚构交易数据和用户评价来伪造商品热度。2024年广西富川“风湿药刷单”案便是一个典型案例。犯罪团伙在半年内通过虚假交易刷单，使得某风湿药的销量突破万单，且98%的好评均系伪造。这种行为严重扭曲市场信号，使得消费者难以分辨商品真实质量，从而基于失真的信息做出错误的购买决策。这些不正当竞争行为不仅扰乱了市场秩序，更严重侵害了消费者的合法权益。</w:t>
      </w:r>
    </w:p>
    <w:p w14:paraId="369CA9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凭借自身垄断地位造成的损害。</w:t>
      </w:r>
      <w:r>
        <w:rPr>
          <w:rFonts w:hint="eastAsia" w:ascii="仿宋_GB2312" w:hAnsi="仿宋_GB2312" w:eastAsia="仿宋_GB2312" w:cs="仿宋_GB2312"/>
          <w:b w:val="0"/>
          <w:bCs w:val="0"/>
          <w:color w:val="auto"/>
          <w:sz w:val="32"/>
          <w:szCs w:val="32"/>
          <w:lang w:eastAsia="zh-CN"/>
        </w:rPr>
        <w:t>一是滥用市场支配地位限定交易。2019年，格兰仕微波炉披露，其高管拜访拼多多后，天猫专卖店搜索量从每日近2万人骤降至200余人，甚至“格兰仕官方旗舰店”都无法被搜索到。这直指阿里巴巴集团自2015年起，通过“二选一”策略，强制要求平台内商家仅能在其平台开店或参与促销，排除、限制其他竞争性平台的市场机会。此行为损害了商家的自主经营权，也剥夺了消费者在不同平台比较选择和享受优惠的权利。二是利用自身优势对市场产生排除、限制竞争效果。2021年7月，市场监管总局依法禁止虎牙与斗鱼合并。经审查，该合并案将显著增强市场集中度，可能对中国游戏直播市场形成垄断，向上游网络游戏运营市场和下游衍生服务市场传导风险，进而对整个消费者群体造成损害。</w:t>
      </w:r>
    </w:p>
    <w:p w14:paraId="21D0B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平台经济中消费者</w:t>
      </w:r>
      <w:r>
        <w:rPr>
          <w:rFonts w:hint="eastAsia" w:ascii="黑体" w:hAnsi="黑体" w:eastAsia="黑体" w:cs="黑体"/>
          <w:color w:val="auto"/>
          <w:sz w:val="32"/>
          <w:szCs w:val="32"/>
        </w:rPr>
        <w:t>权益</w:t>
      </w:r>
      <w:r>
        <w:rPr>
          <w:rFonts w:hint="eastAsia" w:ascii="黑体" w:hAnsi="黑体" w:eastAsia="黑体" w:cs="黑体"/>
          <w:color w:val="auto"/>
          <w:sz w:val="32"/>
          <w:szCs w:val="32"/>
          <w:lang w:eastAsia="zh-CN"/>
        </w:rPr>
        <w:t>受到损害的原因</w:t>
      </w:r>
      <w:r>
        <w:rPr>
          <w:rFonts w:hint="eastAsia" w:ascii="黑体" w:hAnsi="黑体" w:eastAsia="黑体" w:cs="黑体"/>
          <w:color w:val="auto"/>
          <w:sz w:val="32"/>
          <w:szCs w:val="32"/>
        </w:rPr>
        <w:t xml:space="preserve"> </w:t>
      </w:r>
    </w:p>
    <w:p w14:paraId="0C5E8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（一）制度演进具有一定的滞后性</w:t>
      </w:r>
    </w:p>
    <w:p w14:paraId="6957935C">
      <w:pPr>
        <w:keepNext w:val="0"/>
        <w:keepLines w:val="0"/>
        <w:pageBreakBefore w:val="0"/>
        <w:widowControl w:val="0"/>
        <w:kinsoku/>
        <w:wordWrap/>
        <w:overflowPunct/>
        <w:topLinePunct w:val="0"/>
        <w:autoSpaceDE/>
        <w:autoSpaceDN/>
        <w:bidi w:val="0"/>
        <w:adjustRightInd/>
        <w:snapToGrid/>
        <w:spacing w:line="560" w:lineRule="exact"/>
        <w:ind w:firstLine="599"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pacing w:val="-11"/>
          <w:sz w:val="32"/>
          <w:szCs w:val="32"/>
          <w:lang w:val="en-US" w:eastAsia="zh-CN"/>
        </w:rPr>
        <w:t>法律和监管滞后于技术发展。</w:t>
      </w:r>
      <w:r>
        <w:rPr>
          <w:rFonts w:hint="eastAsia" w:ascii="仿宋_GB2312" w:hAnsi="仿宋_GB2312" w:eastAsia="仿宋_GB2312" w:cs="仿宋_GB2312"/>
          <w:b w:val="0"/>
          <w:bCs w:val="0"/>
          <w:color w:val="auto"/>
          <w:kern w:val="2"/>
          <w:sz w:val="32"/>
          <w:szCs w:val="32"/>
          <w:lang w:val="en-US" w:eastAsia="zh-CN" w:bidi="ar-SA"/>
        </w:rPr>
        <w:t>平台经济创新速度远超法律规范与监管手段更新节奏。据《中国反不正当竞争执法年度报告（2023）》，现行法律对算法歧视、流量造假等新兴技术衍生行为缺乏明确界定，执法依赖抽象标准。同时，监管部门在技术识别、证据固定等环节存在短板，导致部分违规行为长期游离于监管之外。如2024年“金牌试客”案，犯罪团伙虚构22亿销售额时才被查处，凸显监管滞后问题。《反垄断法》同样面临着相应的挑战。在收购中国音乐集团案件中，腾讯2016年收购中国音乐集团61.64%股权，取得对中国音乐集团单独控制权，属于违反了《反垄断法》第二十条规定的经营者集中。然而，由于《反垄断法》未能及时跟上数字音乐市场版权集中化的创新趋势，直到2021年才对其进行处罚。该案表明，反垄断法在应对平台经济创新时存在滞后性，需及时完善相关规则以防范新型垄断行为。</w:t>
      </w:r>
    </w:p>
    <w:p w14:paraId="440B86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法律边界模糊与衔接不畅。</w:t>
      </w:r>
      <w:r>
        <w:rPr>
          <w:rFonts w:hint="eastAsia" w:ascii="仿宋_GB2312" w:hAnsi="仿宋_GB2312" w:eastAsia="仿宋_GB2312" w:cs="仿宋_GB2312"/>
          <w:b w:val="0"/>
          <w:bCs w:val="0"/>
          <w:color w:val="auto"/>
          <w:kern w:val="2"/>
          <w:sz w:val="32"/>
          <w:szCs w:val="32"/>
          <w:lang w:val="en-US" w:eastAsia="zh-CN" w:bidi="ar-SA"/>
        </w:rPr>
        <w:t>平台经济背景下，法律体系内部的概念断层与效力冲突问题日益凸显。一是新型权益保护存在立法空白。如数据访问权、算法解释权等未纳入“消费者合法权益”，削弱了法律对抗技术霸权的武器。二是多部法律衔接不畅。例如《个人信息保护法》的‘最小必要原则’与《反不正当竞争法》的‘商业道德’标准因规范目标差异，可能导致规制逻辑冲突。在‘脉脉抓取微博用户信息案’中，北京知识产权法院依据《反不正当竞争法》认定未经授权的数据抓取违反商业道德，但该行为可能符合《个人信息保护法》第13条下的合法性基础（如用户同意或信息已公开）。此类案件凸显司法实践中，法院需通过目的解释权衡个人信息权益保护与数据竞争秩序维护的价值目标，反映出跨部门法协同机制亟待完善。</w:t>
      </w:r>
    </w:p>
    <w:p w14:paraId="2B87C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（二）平台经济发展带来的治理风险</w:t>
      </w:r>
    </w:p>
    <w:p w14:paraId="444C3F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平台双重角色引致权能越线。</w:t>
      </w:r>
      <w:r>
        <w:rPr>
          <w:rFonts w:hint="eastAsia" w:ascii="仿宋_GB2312" w:hAnsi="仿宋_GB2312" w:eastAsia="仿宋_GB2312" w:cs="仿宋_GB2312"/>
          <w:b w:val="0"/>
          <w:bCs w:val="0"/>
          <w:color w:val="auto"/>
          <w:kern w:val="2"/>
          <w:sz w:val="32"/>
          <w:szCs w:val="32"/>
          <w:lang w:val="en-US" w:eastAsia="zh-CN" w:bidi="ar-SA"/>
        </w:rPr>
        <w:t>数字平台兼具“市场参与者”与“规则制定者”双重角色，其私权逻辑与公权干预的冲突显著。一是规则隐匿强化信息垄断。平台以流量分配与搜索排序规则属于商业秘密为由通常不对外公开。例如，阿里巴巴国际站的搜索排序规则涉及“买家偏好”“产品信息质量”等综合因素，但具体算法逻辑未公开。二是平台霸权制造竞争鸿沟。以拼多多“仅退款”政策为例，网经社《2024年电商平台“仅退款”调查报告》显示，其自营店铺和第三方店铺在退款审核通过率上差异显著，自营店铺通过率更高。这无疑使第三方店铺处于不利地位，加剧了平台内不同类型店铺间的竞争不平等。</w:t>
      </w:r>
    </w:p>
    <w:p w14:paraId="1A248C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alibri" w:hAnsi="Calibri" w:eastAsia="宋体"/>
          <w:color w:val="auto"/>
          <w:lang w:val="en-US" w:eastAsia="zh-CN"/>
        </w:rPr>
      </w:pPr>
      <w:r>
        <w:rPr>
          <w:rFonts w:hint="eastAsia" w:ascii="仿宋_GB2312" w:hAnsi="仿宋_GB2312" w:eastAsia="仿宋_GB2312" w:cs="仿宋_GB2312"/>
          <w:b/>
          <w:bCs/>
          <w:color w:val="auto"/>
          <w:kern w:val="2"/>
          <w:sz w:val="32"/>
          <w:szCs w:val="32"/>
          <w:lang w:val="en-US" w:eastAsia="zh-CN" w:bidi="ar-SA"/>
        </w:rPr>
        <w:t>资本无序扩张与技术垄断扭曲市场秩序。</w:t>
      </w:r>
      <w:r>
        <w:rPr>
          <w:rFonts w:hint="eastAsia" w:ascii="仿宋_GB2312" w:hAnsi="仿宋_GB2312" w:eastAsia="仿宋_GB2312" w:cs="仿宋_GB2312"/>
          <w:b w:val="0"/>
          <w:bCs w:val="0"/>
          <w:color w:val="auto"/>
          <w:kern w:val="2"/>
          <w:sz w:val="32"/>
          <w:szCs w:val="32"/>
          <w:lang w:val="en-US" w:eastAsia="zh-CN" w:bidi="ar-SA"/>
        </w:rPr>
        <w:t>一是利用技术壁垒进行垄断。平台利用数据、算法等技术手段构建竞争壁垒。例如在2021年山东省青岛市“饿了么”诉“美团”案中，美团通过改变跨平台商户配送范围、降低曝光率、回收优惠活动、强制商户参加优惠等方式，强迫商户使用其独家服务。二是通过大量资金投入来排除竞争。部分平台通过前期烧钱补贴的手段迅速扩大市场份额，在形成垄断地位后，转而利用其市场支配力实施限制竞争行为。例如，美团曾因要求商户“二选一”被国家市场监督管理总局处以34.42亿元罚款，其通过算法降权、惩罚性措施迫使商户放弃多平台经营，严重削弱市场竞争活力。</w:t>
      </w:r>
    </w:p>
    <w:p w14:paraId="3C822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（三）权益主体的能力不足和救济机制失效</w:t>
      </w:r>
    </w:p>
    <w:p w14:paraId="03D4FD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数字化进程中消费者认知不足。</w:t>
      </w:r>
      <w:r>
        <w:rPr>
          <w:rFonts w:hint="eastAsia" w:ascii="仿宋_GB2312" w:hAnsi="仿宋_GB2312" w:eastAsia="仿宋_GB2312" w:cs="仿宋_GB2312"/>
          <w:b w:val="0"/>
          <w:bCs w:val="0"/>
          <w:color w:val="auto"/>
          <w:kern w:val="2"/>
          <w:sz w:val="32"/>
          <w:szCs w:val="32"/>
          <w:lang w:val="en-US" w:eastAsia="zh-CN" w:bidi="ar-SA"/>
        </w:rPr>
        <w:t>平台经济快速发展的背景下，消费者在技术认知与风险防范能力上的差距日益扩大。一是算法认知鸿沟普遍存在。根据2022年中消协发布的《适老化App消费监督评测项目研究报告》，很少一部分用户能够识别价格歧视模型，老年人对诱导性弹窗的误触率很高。二是风险抵御能力薄弱。浙江省银发经济纠纷数据显示，智能设备捆绑销售类投诉占比和年均损失金额逐年升高。部分商家利用老年人对智能合约条款的理解盲区，强制绑定付费服务，加剧消费不平等。三是信息甄别能力不足。虚假广告、AI合成内容等技术滥用现象频发。多项研究表明，公众在面对网络谣言时普遍存在辨别能力不足的问题。由于网络谣言传播速度快、形式多样，且部分用户媒介素养有待提高，虚假信息往往能在短时间内迅速扩散。</w:t>
      </w:r>
    </w:p>
    <w:p w14:paraId="714D81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救济机制的成本收益倒挂。</w:t>
      </w:r>
      <w:r>
        <w:rPr>
          <w:rFonts w:hint="eastAsia" w:ascii="仿宋_GB2312" w:hAnsi="仿宋_GB2312" w:eastAsia="仿宋_GB2312" w:cs="仿宋_GB2312"/>
          <w:b w:val="0"/>
          <w:bCs w:val="0"/>
          <w:color w:val="auto"/>
          <w:kern w:val="2"/>
          <w:sz w:val="32"/>
          <w:szCs w:val="32"/>
          <w:lang w:val="en-US" w:eastAsia="zh-CN" w:bidi="ar-SA"/>
        </w:rPr>
        <w:t>现行维权体系存在结构性缺陷，导致消费者维权积极性受挫。根据民事纠纷简易程序，个体维权平均需投入140小时及4000元费用，但实际补偿金额很低。根据江苏省消保委2024年发布的典型案例，消费者朱女士发现同一商品二次购买价格上浮20%，经消协调解后商家仅退还差价，未额外赔偿。此类案件中，消费者需承担高额举证成本与律师费用，但补偿金额往往远低于投入。根据2023年中消协发布的《2023年消费维权年主题调查结果》，消费者普遍反映，维权所需投入的时间、精力与实际获赔金额不成正比，消费者在权衡利弊后选择放弃追偿。</w:t>
      </w:r>
    </w:p>
    <w:p w14:paraId="46579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平台经济治理中权益救济机制的解决思路</w:t>
      </w:r>
    </w:p>
    <w:p w14:paraId="02FC1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（一）制度创新驱动权益保障范式转型</w:t>
      </w:r>
    </w:p>
    <w:p w14:paraId="7ED19C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全方位监管机制的制度嵌入。</w:t>
      </w:r>
      <w:r>
        <w:rPr>
          <w:rFonts w:hint="eastAsia" w:ascii="仿宋_GB2312" w:hAnsi="仿宋_GB2312" w:eastAsia="仿宋_GB2312" w:cs="仿宋_GB2312"/>
          <w:b w:val="0"/>
          <w:bCs w:val="0"/>
          <w:color w:val="auto"/>
          <w:kern w:val="2"/>
          <w:sz w:val="32"/>
          <w:szCs w:val="32"/>
          <w:lang w:val="en-US" w:eastAsia="zh-CN" w:bidi="ar-SA"/>
        </w:rPr>
        <w:t>一是构建大数据监测平台。运用机器学习算法实时抓取平台交易数据，自动预警价格操纵、虚假交易等异常行为。同时建立数据共享通道，联合制定数字市场垄断行为认定指南，建立跨区域执法联动机制，对涉及多省市的平台垄断案件实行联合调查、证据互认。二是强化技术支撑体系建设。在数字经济示范区试行“沙盒监管负面清单”。监管部门根据行业特点，制定负面清单，明确禁止性事项，实行“非禁止即可试”原则。对纳入“沙盒”的企业设置1年观察期，通过大数据、物联网等技术进行动态跟踪，定制监管模式，发现风险隐患及时纠偏。实施信任监管，除处理投诉举报、突发事件等必要检查外，设定“企业宁静日”。推进区块链存证司法衔接。市场监管部门取证的电子数据实时同步至司法区块链，实现“一键调证”。</w:t>
      </w:r>
    </w:p>
    <w:p w14:paraId="6160F2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构建法律体系协同治理框架。</w:t>
      </w:r>
      <w:r>
        <w:rPr>
          <w:rFonts w:hint="eastAsia" w:ascii="仿宋_GB2312" w:hAnsi="仿宋_GB2312" w:eastAsia="仿宋_GB2312" w:cs="仿宋_GB2312"/>
          <w:b w:val="0"/>
          <w:bCs w:val="0"/>
          <w:color w:val="auto"/>
          <w:kern w:val="2"/>
          <w:sz w:val="32"/>
          <w:szCs w:val="32"/>
          <w:lang w:val="en-US" w:eastAsia="zh-CN" w:bidi="ar-SA"/>
        </w:rPr>
        <w:t>一是加强立法。加快修订《消费者权益保护法》，将数据访问权、算法解释权纳入消费者权益范畴，增设平台透明度义务条款。制定《数字经济促进法》，统筹协调《反不正当竞争法》《反垄断法》《个人信息保护法》等法律，明确数据垄断、算法共谋的认定标准，将“最小必要原则”纳入平台经济领域商业道德评估体系。二是加强执法。建立多部门联合执法机制，明确案件线索通报、证据移送等程序标准。三是加强司法。针对跨法条矛盾案件，最高人民法院可发布典型案例，明确数据抓取行为的合法性边界：若仅超出“必要范围”但未触及“敏感信息”，优先适用《个人信息保护法》行政处罚条款；若同时构成“不正当竞争”，则可依据《反不正当竞争法》提起民事诉讼。</w:t>
      </w:r>
    </w:p>
    <w:p w14:paraId="23B0D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（二）风险治理体系的前瞻性重构</w:t>
      </w:r>
    </w:p>
    <w:p w14:paraId="3234E9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打造平台合规责任的穿透式监管。</w:t>
      </w:r>
      <w:r>
        <w:rPr>
          <w:rFonts w:hint="eastAsia" w:ascii="仿宋_GB2312" w:hAnsi="仿宋_GB2312" w:eastAsia="仿宋_GB2312" w:cs="仿宋_GB2312"/>
          <w:b w:val="0"/>
          <w:bCs w:val="0"/>
          <w:color w:val="auto"/>
          <w:kern w:val="2"/>
          <w:sz w:val="32"/>
          <w:szCs w:val="32"/>
          <w:lang w:val="en-US" w:eastAsia="zh-CN" w:bidi="ar-SA"/>
        </w:rPr>
        <w:t>一是打造规则与技术治理双向协同体系。推动建立平台“公私权责清单”，分类界定商业规则制定权限，限制平台利用规则隐匿实施信息垄断。通过立法明确平台“市场参与者”与“规则制定者”双重身份的合规边界，防范私权逻辑挤压公共价值。制定数字市场公平竞争技术标准，禁止平台利用数据封锁、算法歧视等手段构建排他性生态。探索建立公共数据共享平台，打破头部企业技术垄断格局，推动关键数字基础设施的互联互通。二是参照欧盟《数字服务法》，要求月活用户超5000万的平台向工信部备案推荐算法核心参数，包括权重系数、训练数据集构成及更新频率。建立第三方算法审计制度，由独立机构定期评估算法是否隐含价格歧视、流量操纵等行为，审计报告向社会公开。</w:t>
      </w:r>
    </w:p>
    <w:p w14:paraId="66F623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构建全方位价格监管体系。</w:t>
      </w:r>
      <w:r>
        <w:rPr>
          <w:rFonts w:hint="eastAsia" w:ascii="仿宋_GB2312" w:hAnsi="仿宋_GB2312" w:eastAsia="仿宋_GB2312" w:cs="仿宋_GB2312"/>
          <w:b w:val="0"/>
          <w:bCs w:val="0"/>
          <w:color w:val="auto"/>
          <w:kern w:val="2"/>
          <w:sz w:val="32"/>
          <w:szCs w:val="32"/>
          <w:lang w:val="en-US" w:eastAsia="zh-CN" w:bidi="ar-SA"/>
        </w:rPr>
        <w:t>政府部门需结合行业实际情况，制定出一套科学、合理、透明的价格管制体系。这套体系应涵盖平台对商家收取的各类费用，如佣金、技术服务费等，以及平台向消费者提供的服务价格。同时，要明确价格调整的触发条件、幅度限制以及审批流程，确保平台价格的调整在合理范围内进行，避免出现随意涨价或恶意压价等不良行为。强化公众监督和社会共治机制。鼓励公众积极参与平台价格管制的监督工作，对于举报属实的，给予举报人一定的奖励，提高公众参与监督的积极性。同时，充分发挥行业协会的作用，引导其参与平台价格管制政策的制定和评估过程，共同维护平台市场的价格秩序和公平竞争环境。</w:t>
      </w:r>
    </w:p>
    <w:p w14:paraId="2C485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（三）加强权益主体的能力建设</w:t>
      </w:r>
    </w:p>
    <w:p w14:paraId="513B83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优化维权资源配置效率。</w:t>
      </w:r>
      <w:r>
        <w:rPr>
          <w:rFonts w:hint="eastAsia" w:ascii="仿宋_GB2312" w:hAnsi="仿宋_GB2312" w:eastAsia="仿宋_GB2312" w:cs="仿宋_GB2312"/>
          <w:b w:val="0"/>
          <w:bCs w:val="0"/>
          <w:color w:val="auto"/>
          <w:kern w:val="2"/>
          <w:sz w:val="32"/>
          <w:szCs w:val="32"/>
          <w:lang w:val="en-US" w:eastAsia="zh-CN" w:bidi="ar-SA"/>
        </w:rPr>
        <w:t>破解维权成本畸高难题，需重构法律救济资源分配模式。推行胜诉酬金制，允许律师在集体诉讼中按实际执行金额的15%收取报酬。司法部门加强群体诉讼费用监督，防止律师费用与其提供的服务之间不成比例，确保协议的公平性和合理性。设立“数字权益保障险”。由平台缴纳一定比例的营收作为保费，消费者胜诉后可获诉讼成本300%补偿。建设全国电子取证中心，利用信息技术通过集中化、专业化的服务，降低个体取证成本。</w:t>
      </w:r>
    </w:p>
    <w:p w14:paraId="147FAB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小标宋简体" w:hAnsi="方正小标宋简体" w:eastAsia="方正小标宋简体" w:cs="方正小标宋简体"/>
          <w:kern w:val="0"/>
          <w:sz w:val="44"/>
          <w:szCs w:val="44"/>
        </w:rPr>
      </w:pPr>
      <w:r>
        <w:rPr>
          <w:rFonts w:hint="eastAsia" w:ascii="仿宋_GB2312" w:hAnsi="仿宋_GB2312" w:eastAsia="仿宋_GB2312" w:cs="仿宋_GB2312"/>
          <w:b/>
          <w:bCs/>
          <w:color w:val="auto"/>
          <w:kern w:val="2"/>
          <w:sz w:val="32"/>
          <w:szCs w:val="32"/>
          <w:lang w:val="en-US" w:eastAsia="zh-CN" w:bidi="ar-SA"/>
        </w:rPr>
        <w:t>培育数字素养。</w:t>
      </w:r>
      <w:r>
        <w:rPr>
          <w:rFonts w:hint="eastAsia" w:ascii="仿宋_GB2312" w:hAnsi="仿宋_GB2312" w:eastAsia="仿宋_GB2312" w:cs="仿宋_GB2312"/>
          <w:b w:val="0"/>
          <w:bCs w:val="0"/>
          <w:color w:val="auto"/>
          <w:kern w:val="2"/>
          <w:sz w:val="32"/>
          <w:szCs w:val="32"/>
          <w:lang w:val="en-US" w:eastAsia="zh-CN" w:bidi="ar-SA"/>
        </w:rPr>
        <w:t>系统性提升全民数字能力。实施“银发数字扫盲”工程，行政部门将算法识别、防诈技巧等纳入居家养老服务清单，并在老年大学开设《智能设备避坑指南》课程，降低参训老人误触率。建立全民数字素养认证体系，设置基础、专业、专家三级认证，持证者享受消费折扣、快速维权等多种权益。加强数字素养培育。开发沉浸式教育产品，利用虚拟现实（VR）技术，模拟真实场景，提供沉浸式的数字素养教育体验，提升全民数字能力。</w:t>
      </w:r>
    </w:p>
    <w:p w14:paraId="712722EE">
      <w:pPr>
        <w:pageBreakBefore w:val="0"/>
        <w:widowControl/>
        <w:kinsoku/>
        <w:overflowPunct/>
        <w:topLinePunct w:val="0"/>
        <w:bidi w:val="0"/>
        <w:spacing w:line="560" w:lineRule="exact"/>
        <w:jc w:val="center"/>
        <w:rPr>
          <w:rFonts w:hint="eastAsia" w:ascii="方正小标宋简体" w:hAnsi="方正小标宋简体" w:eastAsia="方正小标宋简体" w:cs="方正小标宋简体"/>
          <w:kern w:val="0"/>
          <w:sz w:val="44"/>
          <w:szCs w:val="44"/>
        </w:rPr>
      </w:pPr>
    </w:p>
    <w:p w14:paraId="200226B0">
      <w:pPr>
        <w:pageBreakBefore w:val="0"/>
        <w:widowControl/>
        <w:kinsoku/>
        <w:overflowPunct/>
        <w:topLinePunct w:val="0"/>
        <w:bidi w:val="0"/>
        <w:spacing w:line="560" w:lineRule="exact"/>
        <w:jc w:val="center"/>
        <w:rPr>
          <w:rFonts w:hint="eastAsia" w:ascii="方正小标宋简体" w:hAnsi="方正小标宋简体" w:eastAsia="方正小标宋简体" w:cs="方正小标宋简体"/>
          <w:kern w:val="0"/>
          <w:sz w:val="44"/>
          <w:szCs w:val="44"/>
        </w:rPr>
      </w:pPr>
    </w:p>
    <w:p w14:paraId="67BFF4BC">
      <w:pPr>
        <w:pageBreakBefore w:val="0"/>
        <w:widowControl/>
        <w:kinsoku/>
        <w:overflowPunct/>
        <w:topLinePunct w:val="0"/>
        <w:bidi w:val="0"/>
        <w:spacing w:line="5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从“黑箱决策”到“温度执法”：人工智能工业产品的执法挑战与路径</w:t>
      </w:r>
      <w:r>
        <w:rPr>
          <w:rFonts w:hint="eastAsia" w:ascii="方正小标宋简体" w:hAnsi="方正小标宋简体" w:eastAsia="方正小标宋简体" w:cs="方正小标宋简体"/>
          <w:kern w:val="0"/>
          <w:sz w:val="44"/>
          <w:szCs w:val="44"/>
          <w:lang w:eastAsia="zh-CN"/>
        </w:rPr>
        <w:t>思考</w:t>
      </w:r>
    </w:p>
    <w:p w14:paraId="1626B6E8">
      <w:pPr>
        <w:pageBreakBefore w:val="0"/>
        <w:widowControl/>
        <w:kinsoku/>
        <w:overflowPunct/>
        <w:topLinePunct w:val="0"/>
        <w:bidi w:val="0"/>
        <w:spacing w:line="560" w:lineRule="exact"/>
        <w:ind w:firstLine="640" w:firstLineChars="200"/>
        <w:jc w:val="center"/>
        <w:rPr>
          <w:rFonts w:ascii="仿宋_GB2312" w:hAnsi="仿宋_GB2312" w:eastAsia="仿宋_GB2312" w:cs="仿宋_GB2312"/>
          <w:kern w:val="0"/>
          <w:sz w:val="32"/>
          <w:szCs w:val="32"/>
        </w:rPr>
      </w:pPr>
    </w:p>
    <w:p w14:paraId="08281497">
      <w:pPr>
        <w:pageBreakBefore w:val="0"/>
        <w:widowControl/>
        <w:kinsoku/>
        <w:overflowPunct/>
        <w:topLinePunct w:val="0"/>
        <w:bidi w:val="0"/>
        <w:spacing w:line="560" w:lineRule="exact"/>
        <w:jc w:val="center"/>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作者：</w:t>
      </w:r>
      <w:r>
        <w:rPr>
          <w:rFonts w:hint="eastAsia" w:ascii="楷体_GB2312" w:hAnsi="楷体_GB2312" w:eastAsia="楷体_GB2312" w:cs="楷体_GB2312"/>
          <w:kern w:val="0"/>
          <w:sz w:val="32"/>
          <w:szCs w:val="32"/>
        </w:rPr>
        <w:t>玉潇菲</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广西壮族自治区市场监督管理局</w:t>
      </w:r>
      <w:r>
        <w:rPr>
          <w:rFonts w:hint="eastAsia" w:ascii="楷体_GB2312" w:hAnsi="楷体_GB2312" w:eastAsia="楷体_GB2312" w:cs="楷体_GB2312"/>
          <w:kern w:val="0"/>
          <w:sz w:val="32"/>
          <w:szCs w:val="32"/>
          <w:lang w:eastAsia="zh-CN"/>
        </w:rPr>
        <w:t>综合执法局</w:t>
      </w:r>
    </w:p>
    <w:p w14:paraId="28D64072">
      <w:pPr>
        <w:pageBreakBefore w:val="0"/>
        <w:widowControl/>
        <w:kinsoku/>
        <w:overflowPunct/>
        <w:topLinePunct w:val="0"/>
        <w:bidi w:val="0"/>
        <w:spacing w:line="560" w:lineRule="exact"/>
        <w:jc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eastAsia="zh-CN"/>
        </w:rPr>
        <w:t>执法人员</w:t>
      </w:r>
      <w:r>
        <w:rPr>
          <w:rFonts w:hint="eastAsia" w:ascii="楷体_GB2312" w:hAnsi="楷体_GB2312" w:eastAsia="楷体_GB2312" w:cs="楷体_GB2312"/>
          <w:kern w:val="0"/>
          <w:sz w:val="32"/>
          <w:szCs w:val="32"/>
          <w:lang w:val="en-US" w:eastAsia="zh-CN"/>
        </w:rPr>
        <w:t xml:space="preserve"> </w:t>
      </w:r>
    </w:p>
    <w:p w14:paraId="17BC6309">
      <w:pPr>
        <w:pageBreakBefore w:val="0"/>
        <w:widowControl/>
        <w:kinsoku/>
        <w:overflowPunct/>
        <w:topLinePunct w:val="0"/>
        <w:bidi w:val="0"/>
        <w:spacing w:line="560" w:lineRule="exact"/>
        <w:rPr>
          <w:rFonts w:hint="eastAsia" w:ascii="楷体_GB2312" w:hAnsi="楷体_GB2312" w:eastAsia="楷体_GB2312" w:cs="楷体_GB2312"/>
          <w:kern w:val="0"/>
          <w:sz w:val="32"/>
          <w:szCs w:val="32"/>
        </w:rPr>
      </w:pPr>
    </w:p>
    <w:p w14:paraId="7E031116">
      <w:pPr>
        <w:pageBreakBefore w:val="0"/>
        <w:widowControl/>
        <w:kinsoku/>
        <w:overflowPunct/>
        <w:topLinePunct w:val="0"/>
        <w:bidi w:val="0"/>
        <w:spacing w:line="560" w:lineRule="exact"/>
        <w:jc w:val="left"/>
        <w:outlineLvl w:val="1"/>
        <w:rPr>
          <w:rFonts w:ascii="黑体" w:hAnsi="黑体" w:eastAsia="黑体" w:cs="黑体"/>
          <w:kern w:val="0"/>
          <w:sz w:val="32"/>
          <w:szCs w:val="32"/>
        </w:rPr>
      </w:pPr>
      <w:r>
        <w:rPr>
          <w:rFonts w:hint="eastAsia" w:ascii="黑体" w:hAnsi="黑体" w:eastAsia="黑体" w:cs="黑体"/>
          <w:kern w:val="0"/>
          <w:sz w:val="32"/>
          <w:szCs w:val="32"/>
        </w:rPr>
        <w:t xml:space="preserve">    一、背景</w:t>
      </w:r>
    </w:p>
    <w:p w14:paraId="72CA3A8A">
      <w:pPr>
        <w:pageBreakBefore w:val="0"/>
        <w:kinsoku/>
        <w:overflowPunct/>
        <w:topLinePunct w:val="0"/>
        <w:autoSpaceDE w:val="0"/>
        <w:autoSpaceDN w:val="0"/>
        <w:bidi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人工智能是新一轮科技革命和产业变革的重要驱动力量，将对全球经济社会发展和人类文明进步产生深远影响。习近平总书记指出</w:t>
      </w:r>
      <w:r>
        <w:rPr>
          <w:rFonts w:hint="eastAsia" w:ascii="仿宋_GB2312" w:hAnsi="仿宋_GB2312" w:eastAsia="仿宋_GB2312" w:cs="仿宋_GB2312"/>
          <w:kern w:val="0"/>
          <w:sz w:val="32"/>
          <w:szCs w:val="32"/>
          <w:lang w:eastAsia="zh-CN"/>
        </w:rPr>
        <w:t>：“全面推进人工智能科技创新、产业发展和赋能应用，完善人工智能监管机制体制，牢牢掌握人工智能发展和治理主动权”</w:t>
      </w:r>
      <w:r>
        <w:rPr>
          <w:rFonts w:hint="eastAsia" w:ascii="仿宋_GB2312" w:hAnsi="仿宋_GB2312" w:eastAsia="仿宋_GB2312" w:cs="仿宋_GB2312"/>
          <w:kern w:val="0"/>
          <w:sz w:val="32"/>
          <w:szCs w:val="32"/>
        </w:rPr>
        <w:t>。随着人工智能技术</w:t>
      </w:r>
      <w:r>
        <w:rPr>
          <w:rFonts w:hint="eastAsia" w:ascii="仿宋_GB2312" w:hAnsi="仿宋_GB2312" w:eastAsia="仿宋_GB2312" w:cs="仿宋_GB2312"/>
          <w:kern w:val="0"/>
          <w:sz w:val="32"/>
          <w:szCs w:val="32"/>
          <w:lang w:eastAsia="zh-CN"/>
        </w:rPr>
        <w:t>蓬勃发展</w:t>
      </w:r>
      <w:r>
        <w:rPr>
          <w:rFonts w:hint="eastAsia" w:ascii="仿宋_GB2312" w:hAnsi="仿宋_GB2312" w:eastAsia="仿宋_GB2312" w:cs="仿宋_GB2312"/>
          <w:kern w:val="0"/>
          <w:sz w:val="32"/>
          <w:szCs w:val="32"/>
        </w:rPr>
        <w:t>，越来越多的工业制造企业已经广泛应用深度学习、计算机视觉、自然语言处理等新一代AI技术，让产品“看得见、能判断、会学习”。这些产品不仅能完成传统的生产任务，还能通过云端算法不断升级，实现远程维护、提前预警故障、智能调配资源，大大提升了企业的效率和安全水平。例如，在汽车制造行业，小米汽车在生产线上引入了AI视觉检测设备，能更快更准确地完成复杂检测工作；在仓储行业，京东物流运用若干智能分拣机器人通过AI算法进行路径规划和任务分派，迅速将货物从不同货架分流到派送区域。在地方发展方面，广西作为西部陆海新通道的重要节点，正依托区域交通优势与产业基础，推动AI技术在电网设备智能运维、</w:t>
      </w:r>
      <w:r>
        <w:rPr>
          <w:rFonts w:hint="eastAsia" w:ascii="仿宋_GB2312" w:hAnsi="仿宋_GB2312" w:eastAsia="仿宋_GB2312" w:cs="仿宋_GB2312"/>
          <w:kern w:val="0"/>
          <w:sz w:val="32"/>
          <w:szCs w:val="32"/>
          <w:lang w:eastAsia="zh-CN"/>
        </w:rPr>
        <w:t>智能检测</w:t>
      </w:r>
      <w:r>
        <w:rPr>
          <w:rFonts w:hint="eastAsia" w:ascii="仿宋_GB2312" w:hAnsi="仿宋_GB2312" w:eastAsia="仿宋_GB2312" w:cs="仿宋_GB2312"/>
          <w:kern w:val="0"/>
          <w:sz w:val="32"/>
          <w:szCs w:val="32"/>
        </w:rPr>
        <w:t>、智慧交通系统等领域深入融合，构建本地化、定制化的工业智能产品体系。据统计，截至2024年第一季度，广西已拥有人工智能相关企业2,264家。其中，润建集团在智能建筑与智慧城市等方向有较多布局；</w:t>
      </w:r>
      <w:r>
        <w:rPr>
          <w:rFonts w:hint="eastAsia" w:ascii="仿宋_GB2312" w:hAnsi="仿宋_GB2312" w:eastAsia="仿宋_GB2312" w:cs="仿宋_GB2312"/>
          <w:kern w:val="0"/>
          <w:sz w:val="32"/>
          <w:szCs w:val="32"/>
          <w:lang w:eastAsia="zh-CN"/>
        </w:rPr>
        <w:t>柳钢集团运用钢铁焊接“云眼”机器人助力工业产品</w:t>
      </w:r>
      <w:r>
        <w:rPr>
          <w:rFonts w:hint="eastAsia" w:ascii="仿宋_GB2312" w:hAnsi="仿宋_GB2312" w:eastAsia="仿宋_GB2312" w:cs="仿宋_GB2312"/>
          <w:kern w:val="0"/>
          <w:sz w:val="32"/>
          <w:szCs w:val="32"/>
          <w:lang w:val="en-US" w:eastAsia="zh-CN"/>
        </w:rPr>
        <w:t>AI在线</w:t>
      </w:r>
      <w:r>
        <w:rPr>
          <w:rFonts w:hint="eastAsia" w:ascii="仿宋_GB2312" w:hAnsi="仿宋_GB2312" w:eastAsia="仿宋_GB2312" w:cs="仿宋_GB2312"/>
          <w:kern w:val="0"/>
          <w:sz w:val="32"/>
          <w:szCs w:val="32"/>
          <w:lang w:eastAsia="zh-CN"/>
        </w:rPr>
        <w:t>检测</w:t>
      </w:r>
      <w:r>
        <w:rPr>
          <w:rFonts w:hint="eastAsia" w:ascii="仿宋_GB2312" w:hAnsi="仿宋_GB2312" w:eastAsia="仿宋_GB2312" w:cs="仿宋_GB2312"/>
          <w:kern w:val="0"/>
          <w:sz w:val="32"/>
          <w:szCs w:val="32"/>
        </w:rPr>
        <w:t>；广西卡迪亚科技公司在智慧交通领域推出爬壁式打磨喷涂工业机器人等多项应用产品。</w:t>
      </w:r>
    </w:p>
    <w:p w14:paraId="0568AD84">
      <w:pPr>
        <w:pageBreakBefore w:val="0"/>
        <w:kinsoku/>
        <w:overflowPunct/>
        <w:topLinePunct w:val="0"/>
        <w:autoSpaceDE w:val="0"/>
        <w:autoSpaceDN w:val="0"/>
        <w:bidi w:val="0"/>
        <w:adjustRightInd w:val="0"/>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然而，由于</w:t>
      </w:r>
      <w:r>
        <w:rPr>
          <w:rFonts w:ascii="仿宋_GB2312" w:hAnsi="仿宋_GB2312" w:eastAsia="仿宋_GB2312" w:cs="仿宋_GB2312"/>
          <w:kern w:val="0"/>
          <w:sz w:val="32"/>
          <w:szCs w:val="32"/>
        </w:rPr>
        <w:t>AI</w:t>
      </w:r>
      <w:r>
        <w:rPr>
          <w:rFonts w:hint="eastAsia" w:ascii="仿宋_GB2312" w:hAnsi="仿宋_GB2312" w:eastAsia="仿宋_GB2312" w:cs="仿宋_GB2312"/>
          <w:kern w:val="0"/>
          <w:sz w:val="32"/>
          <w:szCs w:val="32"/>
        </w:rPr>
        <w:t>工业产品因其内部系统决策存在的</w:t>
      </w:r>
      <w:r>
        <w:rPr>
          <w:rFonts w:ascii="仿宋_GB2312" w:hAnsi="仿宋_GB2312" w:eastAsia="仿宋_GB2312" w:cs="仿宋_GB2312"/>
          <w:kern w:val="0"/>
          <w:sz w:val="32"/>
          <w:szCs w:val="32"/>
        </w:rPr>
        <w:t>“黑箱”</w:t>
      </w:r>
      <w:r>
        <w:rPr>
          <w:rFonts w:hint="eastAsia" w:ascii="仿宋_GB2312" w:hAnsi="仿宋_GB2312" w:eastAsia="仿宋_GB2312" w:cs="仿宋_GB2312"/>
          <w:kern w:val="0"/>
          <w:sz w:val="32"/>
          <w:szCs w:val="32"/>
        </w:rPr>
        <w:t>性质，</w:t>
      </w:r>
      <w:r>
        <w:rPr>
          <w:rFonts w:ascii="仿宋_GB2312" w:hAnsi="仿宋_GB2312" w:eastAsia="仿宋_GB2312" w:cs="仿宋_GB2312"/>
          <w:kern w:val="0"/>
          <w:sz w:val="32"/>
          <w:szCs w:val="32"/>
        </w:rPr>
        <w:t>导致可解释性不足、责任链条复杂</w:t>
      </w:r>
      <w:r>
        <w:rPr>
          <w:rFonts w:hint="eastAsia" w:ascii="仿宋_GB2312" w:hAnsi="仿宋_GB2312" w:eastAsia="仿宋_GB2312" w:cs="仿宋_GB2312"/>
          <w:kern w:val="0"/>
          <w:sz w:val="32"/>
          <w:szCs w:val="32"/>
        </w:rPr>
        <w:t>等问题，给传统的产品质量执法带来了新挑战：监管主体划分不明确，取证技术受限、责任认定困难等</w:t>
      </w:r>
      <w:r>
        <w:rPr>
          <w:rFonts w:ascii="仿宋_GB2312" w:hAnsi="仿宋_GB2312" w:eastAsia="仿宋_GB2312" w:cs="仿宋_GB2312"/>
          <w:kern w:val="0"/>
          <w:sz w:val="32"/>
          <w:szCs w:val="32"/>
        </w:rPr>
        <w:t>。</w:t>
      </w:r>
      <w:r>
        <w:rPr>
          <w:rFonts w:ascii="仿宋_GB2312" w:hAnsi="仿宋_GB2312" w:eastAsia="仿宋_GB2312" w:cs="仿宋_GB2312"/>
          <w:color w:val="000000"/>
          <w:kern w:val="0"/>
          <w:sz w:val="32"/>
          <w:szCs w:val="32"/>
        </w:rPr>
        <w:t>在此背景下，本文将首先系统梳理人工智能工业产品在执法过程中所面临困境，提出以</w:t>
      </w:r>
      <w:r>
        <w:rPr>
          <w:rFonts w:hint="eastAsia" w:ascii="仿宋_GB2312" w:hAnsi="仿宋_GB2312" w:eastAsia="仿宋_GB2312" w:cs="仿宋_GB2312"/>
          <w:color w:val="000000"/>
          <w:kern w:val="0"/>
          <w:sz w:val="32"/>
          <w:szCs w:val="32"/>
        </w:rPr>
        <w:t>深化跨部门跨领域合作、增强智能产品可解释性，完善责</w:t>
      </w:r>
      <w:r>
        <w:rPr>
          <w:rFonts w:ascii="仿宋_GB2312" w:hAnsi="仿宋_GB2312" w:eastAsia="仿宋_GB2312" w:cs="仿宋_GB2312"/>
          <w:color w:val="000000"/>
          <w:kern w:val="0"/>
          <w:sz w:val="32"/>
          <w:szCs w:val="32"/>
        </w:rPr>
        <w:t>任</w:t>
      </w:r>
      <w:r>
        <w:rPr>
          <w:rFonts w:hint="eastAsia" w:ascii="仿宋_GB2312" w:hAnsi="仿宋_GB2312" w:eastAsia="仿宋_GB2312" w:cs="仿宋_GB2312"/>
          <w:color w:val="000000"/>
          <w:kern w:val="0"/>
          <w:sz w:val="32"/>
          <w:szCs w:val="32"/>
        </w:rPr>
        <w:t>归责原则</w:t>
      </w:r>
      <w:r>
        <w:rPr>
          <w:rFonts w:ascii="仿宋_GB2312" w:hAnsi="仿宋_GB2312" w:eastAsia="仿宋_GB2312" w:cs="仿宋_GB2312"/>
          <w:color w:val="000000"/>
          <w:kern w:val="0"/>
          <w:sz w:val="32"/>
          <w:szCs w:val="32"/>
        </w:rPr>
        <w:t>为核心的</w:t>
      </w:r>
      <w:r>
        <w:rPr>
          <w:rFonts w:hint="eastAsia" w:ascii="仿宋_GB2312" w:hAnsi="仿宋_GB2312" w:eastAsia="仿宋_GB2312" w:cs="仿宋_GB2312"/>
          <w:color w:val="000000"/>
          <w:kern w:val="0"/>
          <w:sz w:val="32"/>
          <w:szCs w:val="32"/>
        </w:rPr>
        <w:t>监管执法思路，</w:t>
      </w:r>
      <w:r>
        <w:rPr>
          <w:rFonts w:ascii="仿宋_GB2312" w:hAnsi="仿宋_GB2312" w:eastAsia="仿宋_GB2312" w:cs="仿宋_GB2312"/>
          <w:color w:val="000000"/>
          <w:kern w:val="0"/>
          <w:sz w:val="32"/>
          <w:szCs w:val="32"/>
        </w:rPr>
        <w:t>继而</w:t>
      </w:r>
      <w:r>
        <w:rPr>
          <w:rFonts w:hint="eastAsia" w:ascii="仿宋_GB2312" w:hAnsi="仿宋_GB2312" w:eastAsia="仿宋_GB2312" w:cs="仿宋_GB2312"/>
          <w:color w:val="000000"/>
          <w:kern w:val="0"/>
          <w:sz w:val="32"/>
          <w:szCs w:val="32"/>
        </w:rPr>
        <w:t>实现</w:t>
      </w:r>
      <w:r>
        <w:rPr>
          <w:rFonts w:ascii="仿宋_GB2312" w:hAnsi="仿宋_GB2312" w:eastAsia="仿宋_GB2312" w:cs="仿宋_GB2312"/>
          <w:color w:val="000000"/>
          <w:kern w:val="0"/>
          <w:sz w:val="32"/>
          <w:szCs w:val="32"/>
        </w:rPr>
        <w:t>从“黑箱决策”走向“温度执法”的转型路径</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监管与创新的良性互动，在中国式现代化道路上推进新时代行政执法工作</w:t>
      </w:r>
      <w:r>
        <w:rPr>
          <w:rFonts w:hint="eastAsia" w:ascii="仿宋_GB2312" w:hAnsi="仿宋_GB2312" w:eastAsia="仿宋_GB2312" w:cs="仿宋_GB2312"/>
          <w:color w:val="000000"/>
          <w:kern w:val="0"/>
          <w:sz w:val="32"/>
          <w:szCs w:val="32"/>
        </w:rPr>
        <w:t>。</w:t>
      </w:r>
    </w:p>
    <w:p w14:paraId="68C2E5CF">
      <w:pPr>
        <w:pageBreakBefore w:val="0"/>
        <w:widowControl/>
        <w:kinsoku/>
        <w:overflowPunct/>
        <w:topLinePunct w:val="0"/>
        <w:bidi w:val="0"/>
        <w:spacing w:line="560" w:lineRule="exact"/>
        <w:ind w:firstLine="640"/>
        <w:outlineLvl w:val="1"/>
        <w:rPr>
          <w:rFonts w:ascii="黑体" w:hAnsi="黑体" w:eastAsia="黑体" w:cs="黑体"/>
          <w:kern w:val="0"/>
          <w:sz w:val="32"/>
          <w:szCs w:val="32"/>
        </w:rPr>
      </w:pPr>
      <w:r>
        <w:rPr>
          <w:rFonts w:hint="eastAsia" w:ascii="黑体" w:hAnsi="黑体" w:eastAsia="黑体" w:cs="黑体"/>
          <w:kern w:val="0"/>
          <w:sz w:val="32"/>
          <w:szCs w:val="32"/>
        </w:rPr>
        <w:t>二、人工智能工业产品的执法难点</w:t>
      </w:r>
    </w:p>
    <w:p w14:paraId="55C31DDD">
      <w:pPr>
        <w:pageBreakBefore w:val="0"/>
        <w:widowControl/>
        <w:kinsoku/>
        <w:overflowPunct/>
        <w:topLinePunct w:val="0"/>
        <w:bidi w:val="0"/>
        <w:spacing w:line="560" w:lineRule="exact"/>
        <w:ind w:firstLine="640"/>
        <w:outlineLvl w:val="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AI工业产品质量问题的产生机制不同于传统机械设备，执法实践中面临“看不见、查不清、定不了”的多重困境。</w:t>
      </w:r>
    </w:p>
    <w:p w14:paraId="1AA60277">
      <w:pPr>
        <w:pageBreakBefore w:val="0"/>
        <w:kinsoku/>
        <w:overflowPunct/>
        <w:topLinePunct w:val="0"/>
        <w:autoSpaceDE w:val="0"/>
        <w:autoSpaceDN w:val="0"/>
        <w:bidi w:val="0"/>
        <w:adjustRightInd w:val="0"/>
        <w:spacing w:line="560" w:lineRule="exact"/>
        <w:ind w:firstLine="643"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（一）监管主体权限划分不清</w:t>
      </w:r>
    </w:p>
    <w:p w14:paraId="40A8A2F0">
      <w:pPr>
        <w:pageBreakBefore w:val="0"/>
        <w:widowControl/>
        <w:kinsoku/>
        <w:overflowPunct/>
        <w:topLinePunct w:val="0"/>
        <w:bidi w:val="0"/>
        <w:spacing w:line="560" w:lineRule="exact"/>
        <w:ind w:firstLine="640"/>
        <w:outlineLvl w:val="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AI工业产品的质量问题往往不仅源于可见的</w:t>
      </w:r>
      <w:r>
        <w:rPr>
          <w:rFonts w:hint="eastAsia" w:ascii="仿宋_GB2312" w:hAnsi="仿宋_GB2312" w:eastAsia="仿宋_GB2312" w:cs="仿宋_GB2312"/>
          <w:kern w:val="0"/>
          <w:sz w:val="32"/>
          <w:szCs w:val="32"/>
        </w:rPr>
        <w:t>物理</w:t>
      </w:r>
      <w:r>
        <w:rPr>
          <w:rFonts w:ascii="仿宋_GB2312" w:hAnsi="仿宋_GB2312" w:eastAsia="仿宋_GB2312" w:cs="仿宋_GB2312"/>
          <w:kern w:val="0"/>
          <w:sz w:val="32"/>
          <w:szCs w:val="32"/>
        </w:rPr>
        <w:t>硬件缺陷，更涉及算法偏差、模型训练失误、数据处理不当等“黑箱式”内部机制。然而，</w:t>
      </w:r>
      <w:r>
        <w:rPr>
          <w:rFonts w:hint="eastAsia" w:ascii="仿宋_GB2312" w:hAnsi="仿宋_GB2312" w:eastAsia="仿宋_GB2312" w:cs="仿宋_GB2312"/>
          <w:kern w:val="0"/>
          <w:sz w:val="32"/>
          <w:szCs w:val="32"/>
        </w:rPr>
        <w:t>当前</w:t>
      </w:r>
      <w:r>
        <w:rPr>
          <w:rFonts w:ascii="仿宋_GB2312" w:hAnsi="仿宋_GB2312" w:eastAsia="仿宋_GB2312" w:cs="仿宋_GB2312"/>
          <w:kern w:val="0"/>
          <w:sz w:val="32"/>
          <w:szCs w:val="32"/>
        </w:rPr>
        <w:t>我国产品质量监管体系主要以有形产品实体缺陷为执法核心，尚未建立起针对算法责任和智能行为归因的系统性监管框架</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《生成式人工智能服务管理暂行办法》第十六条</w:t>
      </w:r>
      <w:r>
        <w:rPr>
          <w:rFonts w:hint="eastAsia" w:ascii="仿宋_GB2312" w:hAnsi="仿宋_GB2312" w:eastAsia="仿宋_GB2312" w:cs="仿宋_GB2312"/>
          <w:kern w:val="0"/>
          <w:sz w:val="32"/>
          <w:szCs w:val="32"/>
        </w:rPr>
        <w:t>规定了人工智能生成物相关监管主体，但针对因算法问题引发的事故，当前尚无明确法律界定应由哪一监管部门主责处理。虽然</w:t>
      </w:r>
      <w:r>
        <w:rPr>
          <w:rFonts w:ascii="仿宋_GB2312" w:hAnsi="仿宋_GB2312" w:eastAsia="仿宋_GB2312" w:cs="仿宋_GB2312"/>
          <w:kern w:val="0"/>
          <w:sz w:val="32"/>
          <w:szCs w:val="32"/>
        </w:rPr>
        <w:t>市场监管总局作为</w:t>
      </w:r>
      <w:r>
        <w:rPr>
          <w:rFonts w:hint="eastAsia" w:ascii="仿宋_GB2312" w:hAnsi="仿宋_GB2312" w:eastAsia="仿宋_GB2312" w:cs="仿宋_GB2312"/>
          <w:kern w:val="0"/>
          <w:sz w:val="32"/>
          <w:szCs w:val="32"/>
        </w:rPr>
        <w:t>工业</w:t>
      </w:r>
      <w:r>
        <w:rPr>
          <w:rFonts w:ascii="仿宋_GB2312" w:hAnsi="仿宋_GB2312" w:eastAsia="仿宋_GB2312" w:cs="仿宋_GB2312"/>
          <w:kern w:val="0"/>
          <w:sz w:val="32"/>
          <w:szCs w:val="32"/>
        </w:rPr>
        <w:t>产品质量监管部门，主要依据《</w:t>
      </w:r>
      <w:r>
        <w:rPr>
          <w:rFonts w:hint="eastAsia" w:ascii="仿宋_GB2312" w:hAnsi="仿宋_GB2312" w:eastAsia="仿宋_GB2312" w:cs="仿宋_GB2312"/>
          <w:kern w:val="0"/>
          <w:sz w:val="32"/>
          <w:szCs w:val="32"/>
        </w:rPr>
        <w:t>中华人民共和国</w:t>
      </w:r>
      <w:r>
        <w:rPr>
          <w:rFonts w:ascii="仿宋_GB2312" w:hAnsi="仿宋_GB2312" w:eastAsia="仿宋_GB2312" w:cs="仿宋_GB2312"/>
          <w:kern w:val="0"/>
          <w:sz w:val="32"/>
          <w:szCs w:val="32"/>
        </w:rPr>
        <w:t>产品质量法》《</w:t>
      </w:r>
      <w:r>
        <w:rPr>
          <w:rFonts w:hint="eastAsia" w:ascii="仿宋_GB2312" w:hAnsi="仿宋_GB2312" w:eastAsia="仿宋_GB2312" w:cs="仿宋_GB2312"/>
          <w:kern w:val="0"/>
          <w:sz w:val="32"/>
          <w:szCs w:val="32"/>
        </w:rPr>
        <w:t>中华人民共和国认证认可条例</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《中华人民共和国标准化法》等</w:t>
      </w:r>
      <w:r>
        <w:rPr>
          <w:rFonts w:ascii="仿宋_GB2312" w:hAnsi="仿宋_GB2312" w:eastAsia="仿宋_GB2312" w:cs="仿宋_GB2312"/>
          <w:kern w:val="0"/>
          <w:sz w:val="32"/>
          <w:szCs w:val="32"/>
        </w:rPr>
        <w:t>开展执法活动，但其职能体系更偏向对实体部件、出厂合格性和流通环节的</w:t>
      </w:r>
      <w:r>
        <w:rPr>
          <w:rFonts w:hint="eastAsia" w:ascii="仿宋_GB2312" w:hAnsi="仿宋_GB2312" w:eastAsia="仿宋_GB2312" w:cs="仿宋_GB2312"/>
          <w:kern w:val="0"/>
          <w:sz w:val="32"/>
          <w:szCs w:val="32"/>
        </w:rPr>
        <w:t>监督</w:t>
      </w:r>
      <w:r>
        <w:rPr>
          <w:rFonts w:ascii="仿宋_GB2312" w:hAnsi="仿宋_GB2312" w:eastAsia="仿宋_GB2312" w:cs="仿宋_GB2312"/>
          <w:kern w:val="0"/>
          <w:sz w:val="32"/>
          <w:szCs w:val="32"/>
        </w:rPr>
        <w:t>抽查</w:t>
      </w:r>
      <w:r>
        <w:rPr>
          <w:rFonts w:hint="eastAsia" w:ascii="仿宋_GB2312" w:hAnsi="仿宋_GB2312" w:eastAsia="仿宋_GB2312" w:cs="仿宋_GB2312"/>
          <w:kern w:val="0"/>
          <w:sz w:val="32"/>
          <w:szCs w:val="32"/>
        </w:rPr>
        <w:t>和执法行为</w:t>
      </w:r>
      <w:r>
        <w:rPr>
          <w:rFonts w:ascii="仿宋_GB2312" w:hAnsi="仿宋_GB2312" w:eastAsia="仿宋_GB2312" w:cs="仿宋_GB2312"/>
          <w:kern w:val="0"/>
          <w:sz w:val="32"/>
          <w:szCs w:val="32"/>
        </w:rPr>
        <w:t>，对涉及AI</w:t>
      </w:r>
      <w:r>
        <w:rPr>
          <w:rFonts w:hint="eastAsia" w:ascii="仿宋_GB2312" w:hAnsi="仿宋_GB2312" w:eastAsia="仿宋_GB2312" w:cs="仿宋_GB2312"/>
          <w:kern w:val="0"/>
          <w:sz w:val="32"/>
          <w:szCs w:val="32"/>
        </w:rPr>
        <w:t>系统</w:t>
      </w:r>
      <w:r>
        <w:rPr>
          <w:rFonts w:ascii="仿宋_GB2312" w:hAnsi="仿宋_GB2312" w:eastAsia="仿宋_GB2312" w:cs="仿宋_GB2312"/>
          <w:kern w:val="0"/>
          <w:sz w:val="32"/>
          <w:szCs w:val="32"/>
        </w:rPr>
        <w:t>决策逻辑的问题缺乏法定的技术审查与判责能力</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网信</w:t>
      </w:r>
      <w:r>
        <w:rPr>
          <w:rFonts w:hint="eastAsia" w:ascii="仿宋_GB2312" w:hAnsi="仿宋_GB2312" w:eastAsia="仿宋_GB2312" w:cs="仿宋_GB2312"/>
          <w:kern w:val="0"/>
          <w:sz w:val="32"/>
          <w:szCs w:val="32"/>
        </w:rPr>
        <w:t>部门主要</w:t>
      </w:r>
      <w:r>
        <w:rPr>
          <w:rFonts w:ascii="仿宋_GB2312" w:hAnsi="仿宋_GB2312" w:eastAsia="仿宋_GB2312" w:cs="仿宋_GB2312"/>
          <w:kern w:val="0"/>
          <w:sz w:val="32"/>
          <w:szCs w:val="32"/>
        </w:rPr>
        <w:t>依据《网络安全法》《数据安全法》《个人信息保护法》等</w:t>
      </w:r>
      <w:r>
        <w:rPr>
          <w:rFonts w:hint="eastAsia" w:ascii="仿宋_GB2312" w:hAnsi="仿宋_GB2312" w:eastAsia="仿宋_GB2312" w:cs="仿宋_GB2312"/>
          <w:kern w:val="0"/>
          <w:sz w:val="32"/>
          <w:szCs w:val="32"/>
        </w:rPr>
        <w:t>法律</w:t>
      </w:r>
      <w:r>
        <w:rPr>
          <w:rFonts w:ascii="仿宋_GB2312" w:hAnsi="仿宋_GB2312" w:eastAsia="仿宋_GB2312" w:cs="仿宋_GB2312"/>
          <w:kern w:val="0"/>
          <w:sz w:val="32"/>
          <w:szCs w:val="32"/>
        </w:rPr>
        <w:t>法规，主责数据处理合规与信息安全监管，但其职责重点在于数据本身及其使用过程，而非将数据问题与具体产品质量安全责任直接挂钩</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工业和信息化部</w:t>
      </w:r>
      <w:r>
        <w:rPr>
          <w:rFonts w:hint="eastAsia" w:ascii="仿宋_GB2312" w:hAnsi="仿宋_GB2312" w:eastAsia="仿宋_GB2312" w:cs="仿宋_GB2312"/>
          <w:kern w:val="0"/>
          <w:sz w:val="32"/>
          <w:szCs w:val="32"/>
        </w:rPr>
        <w:t>门则重点在</w:t>
      </w:r>
      <w:r>
        <w:rPr>
          <w:rFonts w:ascii="仿宋_GB2312" w:hAnsi="仿宋_GB2312" w:eastAsia="仿宋_GB2312" w:cs="仿宋_GB2312"/>
          <w:kern w:val="0"/>
          <w:sz w:val="32"/>
          <w:szCs w:val="32"/>
        </w:rPr>
        <w:t>推进</w:t>
      </w:r>
      <w:r>
        <w:rPr>
          <w:rFonts w:hint="eastAsia" w:ascii="仿宋_GB2312" w:hAnsi="仿宋_GB2312" w:eastAsia="仿宋_GB2312" w:cs="仿宋_GB2312"/>
          <w:kern w:val="0"/>
          <w:sz w:val="32"/>
          <w:szCs w:val="32"/>
        </w:rPr>
        <w:t>人工智能</w:t>
      </w:r>
      <w:r>
        <w:rPr>
          <w:rFonts w:ascii="仿宋_GB2312" w:hAnsi="仿宋_GB2312" w:eastAsia="仿宋_GB2312" w:cs="仿宋_GB2312"/>
          <w:kern w:val="0"/>
          <w:sz w:val="32"/>
          <w:szCs w:val="32"/>
        </w:rPr>
        <w:t>产业技术发展，侧重技术标准、行业指引，但</w:t>
      </w:r>
      <w:r>
        <w:rPr>
          <w:rFonts w:hint="eastAsia" w:ascii="仿宋_GB2312" w:hAnsi="仿宋_GB2312" w:eastAsia="仿宋_GB2312" w:cs="仿宋_GB2312"/>
          <w:kern w:val="0"/>
          <w:sz w:val="32"/>
          <w:szCs w:val="32"/>
        </w:rPr>
        <w:t>其没有执法机构，也没有</w:t>
      </w:r>
      <w:r>
        <w:rPr>
          <w:rFonts w:ascii="仿宋_GB2312" w:hAnsi="仿宋_GB2312" w:eastAsia="仿宋_GB2312" w:cs="仿宋_GB2312"/>
          <w:kern w:val="0"/>
          <w:sz w:val="32"/>
          <w:szCs w:val="32"/>
        </w:rPr>
        <w:t>执法权。</w:t>
      </w:r>
      <w:r>
        <w:rPr>
          <w:rFonts w:hint="eastAsia" w:ascii="仿宋_GB2312" w:hAnsi="仿宋_GB2312" w:eastAsia="仿宋_GB2312" w:cs="仿宋_GB2312"/>
          <w:kern w:val="0"/>
          <w:sz w:val="32"/>
          <w:szCs w:val="32"/>
        </w:rPr>
        <w:t>其他</w:t>
      </w:r>
      <w:r>
        <w:rPr>
          <w:rFonts w:ascii="仿宋_GB2312" w:hAnsi="仿宋_GB2312" w:eastAsia="仿宋_GB2312" w:cs="仿宋_GB2312"/>
          <w:kern w:val="0"/>
          <w:sz w:val="32"/>
          <w:szCs w:val="32"/>
        </w:rPr>
        <w:t>行业</w:t>
      </w:r>
      <w:r>
        <w:rPr>
          <w:rFonts w:hint="eastAsia" w:ascii="仿宋_GB2312" w:hAnsi="仿宋_GB2312" w:eastAsia="仿宋_GB2312" w:cs="仿宋_GB2312"/>
          <w:kern w:val="0"/>
          <w:sz w:val="32"/>
          <w:szCs w:val="32"/>
        </w:rPr>
        <w:t>主管部门如</w:t>
      </w:r>
      <w:r>
        <w:rPr>
          <w:rFonts w:ascii="仿宋_GB2312" w:hAnsi="仿宋_GB2312" w:eastAsia="仿宋_GB2312" w:cs="仿宋_GB2312"/>
          <w:kern w:val="0"/>
          <w:sz w:val="32"/>
          <w:szCs w:val="32"/>
        </w:rPr>
        <w:t>公安</w:t>
      </w:r>
      <w:r>
        <w:rPr>
          <w:rFonts w:hint="eastAsia" w:ascii="仿宋_GB2312" w:hAnsi="仿宋_GB2312" w:eastAsia="仿宋_GB2312" w:cs="仿宋_GB2312"/>
          <w:kern w:val="0"/>
          <w:sz w:val="32"/>
          <w:szCs w:val="32"/>
        </w:rPr>
        <w:t>、发展和改革委、</w:t>
      </w:r>
      <w:r>
        <w:rPr>
          <w:rFonts w:ascii="仿宋_GB2312" w:hAnsi="仿宋_GB2312" w:eastAsia="仿宋_GB2312" w:cs="仿宋_GB2312"/>
          <w:kern w:val="0"/>
          <w:sz w:val="32"/>
          <w:szCs w:val="32"/>
        </w:rPr>
        <w:t>交通</w:t>
      </w:r>
      <w:r>
        <w:rPr>
          <w:rFonts w:hint="eastAsia" w:ascii="仿宋_GB2312" w:hAnsi="仿宋_GB2312" w:eastAsia="仿宋_GB2312" w:cs="仿宋_GB2312"/>
          <w:kern w:val="0"/>
          <w:sz w:val="32"/>
          <w:szCs w:val="32"/>
        </w:rPr>
        <w:t>运输</w:t>
      </w:r>
      <w:r>
        <w:rPr>
          <w:rFonts w:ascii="仿宋_GB2312" w:hAnsi="仿宋_GB2312" w:eastAsia="仿宋_GB2312" w:cs="仿宋_GB2312"/>
          <w:kern w:val="0"/>
          <w:sz w:val="32"/>
          <w:szCs w:val="32"/>
        </w:rPr>
        <w:t>、能源</w:t>
      </w:r>
      <w:r>
        <w:rPr>
          <w:rFonts w:hint="eastAsia" w:ascii="仿宋_GB2312" w:hAnsi="仿宋_GB2312" w:eastAsia="仿宋_GB2312" w:cs="仿宋_GB2312"/>
          <w:kern w:val="0"/>
          <w:sz w:val="32"/>
          <w:szCs w:val="32"/>
        </w:rPr>
        <w:t>、教育</w:t>
      </w:r>
      <w:r>
        <w:rPr>
          <w:rFonts w:ascii="仿宋_GB2312" w:hAnsi="仿宋_GB2312" w:eastAsia="仿宋_GB2312" w:cs="仿宋_GB2312"/>
          <w:kern w:val="0"/>
          <w:sz w:val="32"/>
          <w:szCs w:val="32"/>
        </w:rPr>
        <w:t>等则可能因</w:t>
      </w:r>
      <w:r>
        <w:rPr>
          <w:rFonts w:hint="eastAsia" w:ascii="仿宋_GB2312" w:hAnsi="仿宋_GB2312" w:eastAsia="仿宋_GB2312" w:cs="仿宋_GB2312"/>
          <w:kern w:val="0"/>
          <w:sz w:val="32"/>
          <w:szCs w:val="32"/>
        </w:rPr>
        <w:t>具体应用</w:t>
      </w:r>
      <w:r>
        <w:rPr>
          <w:rFonts w:ascii="仿宋_GB2312" w:hAnsi="仿宋_GB2312" w:eastAsia="仿宋_GB2312" w:cs="仿宋_GB2312"/>
          <w:kern w:val="0"/>
          <w:sz w:val="32"/>
          <w:szCs w:val="32"/>
        </w:rPr>
        <w:t>场景不同而被动参与执法</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事故发生后因涉及多部门职能，</w:t>
      </w:r>
      <w:r>
        <w:rPr>
          <w:rFonts w:hint="eastAsia" w:ascii="仿宋_GB2312" w:hAnsi="仿宋_GB2312" w:eastAsia="仿宋_GB2312" w:cs="仿宋_GB2312"/>
          <w:kern w:val="0"/>
          <w:sz w:val="32"/>
          <w:szCs w:val="32"/>
        </w:rPr>
        <w:t>不能立即确认由哪个部门主要牵头负责，多</w:t>
      </w:r>
      <w:r>
        <w:rPr>
          <w:rFonts w:ascii="仿宋_GB2312" w:hAnsi="仿宋_GB2312" w:eastAsia="仿宋_GB2312" w:cs="仿宋_GB2312"/>
          <w:kern w:val="0"/>
          <w:sz w:val="32"/>
          <w:szCs w:val="32"/>
        </w:rPr>
        <w:t>头并存导致权责交叉</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互相推诿的问题突出。</w:t>
      </w:r>
    </w:p>
    <w:p w14:paraId="5B74C5ED">
      <w:pPr>
        <w:pageBreakBefore w:val="0"/>
        <w:kinsoku/>
        <w:overflowPunct/>
        <w:topLinePunct w:val="0"/>
        <w:autoSpaceDE w:val="0"/>
        <w:autoSpaceDN w:val="0"/>
        <w:bidi w:val="0"/>
        <w:adjustRightInd w:val="0"/>
        <w:spacing w:line="560" w:lineRule="exact"/>
        <w:ind w:firstLine="643" w:firstLineChars="200"/>
        <w:rPr>
          <w:rFonts w:ascii="仿宋_GB2312" w:hAnsi="仿宋_GB2312" w:eastAsia="仿宋_GB2312" w:cs="仿宋_GB2312"/>
          <w:b/>
          <w:kern w:val="0"/>
          <w:sz w:val="32"/>
          <w:szCs w:val="32"/>
        </w:rPr>
      </w:pPr>
      <w:r>
        <w:rPr>
          <w:rFonts w:hint="eastAsia" w:ascii="楷体_GB2312" w:hAnsi="楷体_GB2312" w:eastAsia="楷体_GB2312" w:cs="楷体_GB2312"/>
          <w:b/>
          <w:kern w:val="0"/>
          <w:sz w:val="32"/>
          <w:szCs w:val="32"/>
        </w:rPr>
        <w:t>（二）技术取证与执法能力存在难题</w:t>
      </w:r>
    </w:p>
    <w:p w14:paraId="6D8677F1">
      <w:pPr>
        <w:pageBreakBefore w:val="0"/>
        <w:kinsoku/>
        <w:overflowPunct/>
        <w:topLinePunct w:val="0"/>
        <w:autoSpaceDE w:val="0"/>
        <w:autoSpaceDN w:val="0"/>
        <w:bidi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一个完整的AI系统决策链包括但不限于</w:t>
      </w:r>
      <w:r>
        <w:rPr>
          <w:rFonts w:ascii="仿宋_GB2312" w:hAnsi="仿宋_GB2312" w:eastAsia="仿宋_GB2312" w:cs="仿宋_GB2312"/>
          <w:kern w:val="0"/>
          <w:sz w:val="32"/>
          <w:szCs w:val="32"/>
        </w:rPr>
        <w:t>算法</w:t>
      </w:r>
      <w:r>
        <w:rPr>
          <w:rFonts w:hint="eastAsia" w:ascii="仿宋_GB2312" w:hAnsi="仿宋_GB2312" w:eastAsia="仿宋_GB2312" w:cs="仿宋_GB2312"/>
          <w:kern w:val="0"/>
          <w:sz w:val="32"/>
          <w:szCs w:val="32"/>
        </w:rPr>
        <w:t>逻辑、</w:t>
      </w:r>
      <w:r>
        <w:rPr>
          <w:rFonts w:ascii="仿宋_GB2312" w:hAnsi="仿宋_GB2312" w:eastAsia="仿宋_GB2312" w:cs="仿宋_GB2312"/>
          <w:kern w:val="0"/>
          <w:sz w:val="32"/>
          <w:szCs w:val="32"/>
        </w:rPr>
        <w:t>模型训练过程</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数据输入</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预处理方式</w:t>
      </w:r>
      <w:r>
        <w:rPr>
          <w:rFonts w:hint="eastAsia" w:ascii="仿宋_GB2312" w:hAnsi="仿宋_GB2312" w:eastAsia="仿宋_GB2312" w:cs="仿宋_GB2312"/>
          <w:kern w:val="0"/>
          <w:sz w:val="32"/>
          <w:szCs w:val="32"/>
        </w:rPr>
        <w:t>以及</w:t>
      </w:r>
      <w:r>
        <w:rPr>
          <w:rFonts w:ascii="仿宋_GB2312" w:hAnsi="仿宋_GB2312" w:eastAsia="仿宋_GB2312" w:cs="仿宋_GB2312"/>
          <w:kern w:val="0"/>
          <w:sz w:val="32"/>
          <w:szCs w:val="32"/>
        </w:rPr>
        <w:t>运行时环境与中间状态</w:t>
      </w:r>
      <w:r>
        <w:rPr>
          <w:rFonts w:hint="eastAsia" w:ascii="仿宋_GB2312" w:hAnsi="仿宋_GB2312" w:eastAsia="仿宋_GB2312" w:cs="仿宋_GB2312"/>
          <w:kern w:val="0"/>
          <w:sz w:val="32"/>
          <w:szCs w:val="32"/>
        </w:rPr>
        <w:t>等多个环节。更具挑战性的是，算法包括人工预设的算法，以及机器学习自我优化调整的算法。</w:t>
      </w:r>
      <w:r>
        <w:rPr>
          <w:rFonts w:hint="eastAsia" w:ascii="仿宋_GB2312" w:hAnsi="仿宋_GB2312" w:eastAsia="仿宋_GB2312" w:cs="仿宋_GB2312"/>
          <w:color w:val="000000"/>
          <w:kern w:val="0"/>
          <w:sz w:val="32"/>
          <w:szCs w:val="32"/>
        </w:rPr>
        <w:t>然而，以上这些构成了AI系统的“黑箱”属性，使得其决策过程复杂、难以理解，会使执法人员较难理解其判断逻辑。</w:t>
      </w:r>
      <w:r>
        <w:rPr>
          <w:rFonts w:hint="eastAsia" w:ascii="仿宋_GB2312" w:hAnsi="仿宋_GB2312" w:eastAsia="仿宋_GB2312" w:cs="仿宋_GB2312"/>
          <w:kern w:val="0"/>
          <w:sz w:val="32"/>
          <w:szCs w:val="32"/>
        </w:rPr>
        <w:t>这不仅增加了确认产品责任的难度，也限制了监管部门对AI系统的有效监督。例如，</w:t>
      </w:r>
      <w:r>
        <w:rPr>
          <w:rFonts w:ascii="仿宋_GB2312" w:hAnsi="仿宋_GB2312" w:eastAsia="仿宋_GB2312" w:cs="仿宋_GB2312"/>
          <w:kern w:val="0"/>
          <w:sz w:val="32"/>
          <w:szCs w:val="32"/>
        </w:rPr>
        <w:t>2018年Uber测试中的一辆自动驾驶汽车在亚利桑那州撞死了一名行人。事后调查发现，系统在识别过程中多次“重新分类”目标，从“未知物体”变为“车辆”再到“自行车”，最终未能做出紧急制动。这一系列分类与判断的背后，是神经网络模型在毫秒级别内进行的数千次计算与权衡——即使是开发该系统的工程师，也无法准确解释“为何”在关键时刻系统没有刹车，</w:t>
      </w:r>
      <w:r>
        <w:rPr>
          <w:rFonts w:hint="eastAsia" w:ascii="仿宋_GB2312" w:hAnsi="仿宋_GB2312" w:eastAsia="仿宋_GB2312" w:cs="仿宋_GB2312"/>
          <w:kern w:val="0"/>
          <w:sz w:val="32"/>
          <w:szCs w:val="32"/>
        </w:rPr>
        <w:t>调查人员也无法理解，</w:t>
      </w:r>
      <w:r>
        <w:rPr>
          <w:rFonts w:ascii="仿宋_GB2312" w:hAnsi="仿宋_GB2312" w:eastAsia="仿宋_GB2312" w:cs="仿宋_GB2312"/>
          <w:kern w:val="0"/>
          <w:sz w:val="32"/>
          <w:szCs w:val="32"/>
        </w:rPr>
        <w:t>给事故</w:t>
      </w:r>
      <w:r>
        <w:rPr>
          <w:rFonts w:hint="eastAsia" w:ascii="仿宋_GB2312" w:hAnsi="仿宋_GB2312" w:eastAsia="仿宋_GB2312" w:cs="仿宋_GB2312"/>
          <w:kern w:val="0"/>
          <w:sz w:val="32"/>
          <w:szCs w:val="32"/>
        </w:rPr>
        <w:t>后续认定</w:t>
      </w:r>
      <w:r>
        <w:rPr>
          <w:rFonts w:ascii="仿宋_GB2312" w:hAnsi="仿宋_GB2312" w:eastAsia="仿宋_GB2312" w:cs="仿宋_GB2312"/>
          <w:kern w:val="0"/>
          <w:sz w:val="32"/>
          <w:szCs w:val="32"/>
        </w:rPr>
        <w:t>带来困难。</w:t>
      </w:r>
    </w:p>
    <w:p w14:paraId="3F3F45F4">
      <w:pPr>
        <w:pageBreakBefore w:val="0"/>
        <w:kinsoku/>
        <w:overflowPunct/>
        <w:topLinePunct w:val="0"/>
        <w:autoSpaceDE w:val="0"/>
        <w:autoSpaceDN w:val="0"/>
        <w:bidi w:val="0"/>
        <w:adjustRightInd w:val="0"/>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外，隐私保护与商业机密监管存在冲突。在执法过程中执法人员需要查看AI系统使用的算法模型、训练数据或运行记录，以判定是否存在缺陷或错误。但这些信息往往涉及用户隐私或企业的核心商业机密，企业可能会以保护知识产权为由拒绝配合，给执法取证造成困难。例如，美国一大型健康保险公司</w:t>
      </w:r>
      <w:r>
        <w:rPr>
          <w:rFonts w:ascii="仿宋_GB2312" w:hAnsi="仿宋_GB2312" w:eastAsia="仿宋_GB2312" w:cs="仿宋_GB2312"/>
          <w:kern w:val="0"/>
          <w:sz w:val="32"/>
          <w:szCs w:val="32"/>
        </w:rPr>
        <w:t>智能诊断设备出现误诊情况</w:t>
      </w:r>
      <w:r>
        <w:rPr>
          <w:rFonts w:hint="eastAsia" w:ascii="仿宋_GB2312" w:hAnsi="仿宋_GB2312" w:eastAsia="仿宋_GB2312" w:cs="仿宋_GB2312"/>
          <w:kern w:val="0"/>
          <w:sz w:val="32"/>
          <w:szCs w:val="32"/>
        </w:rPr>
        <w:t>，耽误</w:t>
      </w:r>
      <w:r>
        <w:rPr>
          <w:rFonts w:hint="eastAsia" w:ascii="仿宋_GB2312" w:hAnsi="仿宋_GB2312" w:eastAsia="仿宋_GB2312" w:cs="仿宋_GB2312"/>
          <w:kern w:val="0"/>
          <w:sz w:val="32"/>
          <w:szCs w:val="32"/>
          <w:lang w:eastAsia="zh-CN"/>
        </w:rPr>
        <w:t>患者</w:t>
      </w:r>
      <w:r>
        <w:rPr>
          <w:rFonts w:hint="eastAsia" w:ascii="仿宋_GB2312" w:hAnsi="仿宋_GB2312" w:eastAsia="仿宋_GB2312" w:cs="仿宋_GB2312"/>
          <w:kern w:val="0"/>
          <w:sz w:val="32"/>
          <w:szCs w:val="32"/>
        </w:rPr>
        <w:t>护理时间</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司法</w:t>
      </w:r>
      <w:r>
        <w:rPr>
          <w:rFonts w:ascii="仿宋_GB2312" w:hAnsi="仿宋_GB2312" w:eastAsia="仿宋_GB2312" w:cs="仿宋_GB2312"/>
          <w:kern w:val="0"/>
          <w:sz w:val="32"/>
          <w:szCs w:val="32"/>
        </w:rPr>
        <w:t>部门要求厂商提供设备的算法模型和训练数据进行审查，但厂商以保护患者隐私及其算法商业机密为由，拒绝披露完整数据和模型细节，阻碍了故障原因的技术取证和责任追究。</w:t>
      </w:r>
    </w:p>
    <w:p w14:paraId="7F87CD24">
      <w:pPr>
        <w:pageBreakBefore w:val="0"/>
        <w:kinsoku/>
        <w:overflowPunct/>
        <w:topLinePunct w:val="0"/>
        <w:autoSpaceDE w:val="0"/>
        <w:autoSpaceDN w:val="0"/>
        <w:bidi w:val="0"/>
        <w:adjustRightInd w:val="0"/>
        <w:spacing w:line="560" w:lineRule="exact"/>
        <w:rPr>
          <w:rFonts w:ascii="楷体_GB2312" w:hAnsi="楷体_GB2312" w:eastAsia="楷体_GB2312" w:cs="楷体_GB2312"/>
          <w:b/>
          <w:kern w:val="0"/>
          <w:sz w:val="32"/>
          <w:szCs w:val="32"/>
        </w:rPr>
      </w:pPr>
      <w:r>
        <w:rPr>
          <w:rFonts w:hint="eastAsia" w:ascii="仿宋_GB2312" w:hAnsi="仿宋_GB2312" w:eastAsia="仿宋_GB2312" w:cs="仿宋_GB2312"/>
          <w:kern w:val="0"/>
          <w:sz w:val="32"/>
          <w:szCs w:val="32"/>
        </w:rPr>
        <w:t xml:space="preserve">    </w:t>
      </w:r>
      <w:r>
        <w:rPr>
          <w:rFonts w:hint="eastAsia" w:ascii="楷体_GB2312" w:hAnsi="楷体_GB2312" w:eastAsia="楷体_GB2312" w:cs="楷体_GB2312"/>
          <w:b/>
          <w:kern w:val="0"/>
          <w:sz w:val="32"/>
          <w:szCs w:val="32"/>
        </w:rPr>
        <w:t>（三）法律归责与责任认定困境</w:t>
      </w:r>
    </w:p>
    <w:p w14:paraId="26B532A1">
      <w:pPr>
        <w:pageBreakBefore w:val="0"/>
        <w:kinsoku/>
        <w:overflowPunct/>
        <w:topLinePunct w:val="0"/>
        <w:autoSpaceDE w:val="0"/>
        <w:autoSpaceDN w:val="0"/>
        <w:bidi w:val="0"/>
        <w:adjustRightInd w:val="0"/>
        <w:spacing w:line="560" w:lineRule="exact"/>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人工智能产品存在高度集成化特性，其研发和使用涉及多个主体，决策过程可能非人为直接控制，较难归责。例如，智能汽车搭载的辅助驾驶</w:t>
      </w:r>
      <w:r>
        <w:rPr>
          <w:rFonts w:ascii="仿宋_GB2312" w:hAnsi="仿宋_GB2312" w:eastAsia="仿宋_GB2312" w:cs="仿宋_GB2312"/>
          <w:kern w:val="0"/>
          <w:sz w:val="32"/>
          <w:szCs w:val="32"/>
        </w:rPr>
        <w:t>系统集成了多个环节的技术和服务</w:t>
      </w:r>
      <w:r>
        <w:rPr>
          <w:rFonts w:hint="eastAsia" w:ascii="仿宋_GB2312" w:hAnsi="仿宋_GB2312" w:eastAsia="仿宋_GB2312" w:cs="仿宋_GB2312"/>
          <w:kern w:val="0"/>
          <w:sz w:val="32"/>
          <w:szCs w:val="32"/>
        </w:rPr>
        <w:t>，包括设计算法的企业，提供和处理数据的云服务公司、生产芯片的公司，系统维护的外包公司等。</w:t>
      </w:r>
      <w:r>
        <w:rPr>
          <w:rFonts w:ascii="仿宋_GB2312" w:hAnsi="仿宋_GB2312" w:eastAsia="仿宋_GB2312" w:cs="仿宋_GB2312"/>
          <w:kern w:val="0"/>
          <w:sz w:val="32"/>
          <w:szCs w:val="32"/>
        </w:rPr>
        <w:t>当产品出现故障时，问题可能</w:t>
      </w:r>
      <w:r>
        <w:rPr>
          <w:rFonts w:hint="eastAsia" w:ascii="仿宋_GB2312" w:hAnsi="仿宋_GB2312" w:eastAsia="仿宋_GB2312" w:cs="仿宋_GB2312"/>
          <w:kern w:val="0"/>
          <w:sz w:val="32"/>
          <w:szCs w:val="32"/>
        </w:rPr>
        <w:t>由于</w:t>
      </w:r>
      <w:r>
        <w:rPr>
          <w:rFonts w:ascii="仿宋_GB2312" w:hAnsi="仿宋_GB2312" w:eastAsia="仿宋_GB2312" w:cs="仿宋_GB2312"/>
          <w:kern w:val="0"/>
          <w:sz w:val="32"/>
          <w:szCs w:val="32"/>
        </w:rPr>
        <w:t>算法设计缺陷、数据处理偏差、模型训练误差、硬件不兼容或系统集成失误等多个环节。以“</w:t>
      </w:r>
      <w:r>
        <w:rPr>
          <w:rFonts w:hint="eastAsia" w:ascii="仿宋_GB2312" w:hAnsi="仿宋_GB2312" w:eastAsia="仿宋_GB2312" w:cs="仿宋_GB2312"/>
          <w:kern w:val="0"/>
          <w:sz w:val="32"/>
          <w:szCs w:val="32"/>
        </w:rPr>
        <w:t>特斯拉</w:t>
      </w:r>
      <w:r>
        <w:rPr>
          <w:rFonts w:ascii="仿宋_GB2312" w:hAnsi="仿宋_GB2312" w:eastAsia="仿宋_GB2312" w:cs="仿宋_GB2312"/>
          <w:kern w:val="0"/>
          <w:sz w:val="32"/>
          <w:szCs w:val="32"/>
        </w:rPr>
        <w:t>汽车中控屏幕突然黑屏”为例，</w:t>
      </w:r>
      <w:r>
        <w:rPr>
          <w:rFonts w:hint="eastAsia" w:ascii="仿宋_GB2312" w:hAnsi="仿宋_GB2312" w:eastAsia="仿宋_GB2312" w:cs="仿宋_GB2312"/>
          <w:kern w:val="0"/>
          <w:sz w:val="32"/>
          <w:szCs w:val="32"/>
        </w:rPr>
        <w:t>执法</w:t>
      </w:r>
      <w:r>
        <w:rPr>
          <w:rFonts w:ascii="仿宋_GB2312" w:hAnsi="仿宋_GB2312" w:eastAsia="仿宋_GB2312" w:cs="仿宋_GB2312"/>
          <w:kern w:val="0"/>
          <w:sz w:val="32"/>
          <w:szCs w:val="32"/>
        </w:rPr>
        <w:t>机关需要判断这是由软件系统故障导致的“设计缺陷”，还是硬件零部件问题构成的“制造缺陷”</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若确认某一模块存在问题，该如何确定首要责任主体</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执法人员在适用现行《产品质量法》时，往往缺乏清晰的判断标准。此外，AI</w:t>
      </w:r>
      <w:r>
        <w:rPr>
          <w:rFonts w:hint="eastAsia" w:ascii="仿宋_GB2312" w:hAnsi="仿宋_GB2312" w:eastAsia="仿宋_GB2312" w:cs="仿宋_GB2312"/>
          <w:kern w:val="0"/>
          <w:sz w:val="32"/>
          <w:szCs w:val="32"/>
        </w:rPr>
        <w:t>工业</w:t>
      </w:r>
      <w:r>
        <w:rPr>
          <w:rFonts w:ascii="仿宋_GB2312" w:hAnsi="仿宋_GB2312" w:eastAsia="仿宋_GB2312" w:cs="仿宋_GB2312"/>
          <w:kern w:val="0"/>
          <w:sz w:val="32"/>
          <w:szCs w:val="32"/>
        </w:rPr>
        <w:t>产品中的责任主体之间通常存在复杂的合同关系，如算法供应商与整车制造商之间签订的服务条款可能约定责任范围与免责机制。然而，对于</w:t>
      </w:r>
      <w:r>
        <w:rPr>
          <w:rFonts w:hint="eastAsia" w:ascii="仿宋_GB2312" w:hAnsi="仿宋_GB2312" w:eastAsia="仿宋_GB2312" w:cs="仿宋_GB2312"/>
          <w:kern w:val="0"/>
          <w:sz w:val="32"/>
          <w:szCs w:val="32"/>
        </w:rPr>
        <w:t>执法</w:t>
      </w:r>
      <w:r>
        <w:rPr>
          <w:rFonts w:ascii="仿宋_GB2312" w:hAnsi="仿宋_GB2312" w:eastAsia="仿宋_GB2312" w:cs="仿宋_GB2312"/>
          <w:kern w:val="0"/>
          <w:sz w:val="32"/>
          <w:szCs w:val="32"/>
        </w:rPr>
        <w:t>机关而言，该类内部合同条款不能对抗外部侵权责任主张，执法机关如何厘清“对外统一责任”与“对内责任分摊”之间的界限，实务中仍存障碍。</w:t>
      </w:r>
    </w:p>
    <w:p w14:paraId="0FEFF96C">
      <w:pPr>
        <w:pageBreakBefore w:val="0"/>
        <w:kinsoku/>
        <w:overflowPunct/>
        <w:topLinePunct w:val="0"/>
        <w:autoSpaceDE w:val="0"/>
        <w:autoSpaceDN w:val="0"/>
        <w:bidi w:val="0"/>
        <w:adjustRightInd w:val="0"/>
        <w:spacing w:line="560" w:lineRule="exact"/>
        <w:ind w:firstLine="800" w:firstLineChars="25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再者，当前对</w:t>
      </w:r>
      <w:r>
        <w:rPr>
          <w:rFonts w:hint="eastAsia" w:ascii="仿宋_GB2312" w:hAnsi="仿宋_GB2312" w:eastAsia="仿宋_GB2312" w:cs="仿宋_GB2312"/>
          <w:kern w:val="0"/>
          <w:sz w:val="32"/>
          <w:szCs w:val="32"/>
        </w:rPr>
        <w:t>人工智能工业产品质量问题的</w:t>
      </w:r>
      <w:r>
        <w:rPr>
          <w:rFonts w:ascii="仿宋_GB2312" w:hAnsi="仿宋_GB2312" w:eastAsia="仿宋_GB2312" w:cs="仿宋_GB2312"/>
          <w:kern w:val="0"/>
          <w:sz w:val="32"/>
          <w:szCs w:val="32"/>
        </w:rPr>
        <w:t>“共同侵权”或“连带责任”适用范围缺乏细致规定</w:t>
      </w:r>
      <w:r>
        <w:rPr>
          <w:rFonts w:hint="eastAsia" w:ascii="仿宋_GB2312" w:hAnsi="仿宋_GB2312" w:eastAsia="仿宋_GB2312" w:cs="仿宋_GB2312"/>
          <w:kern w:val="0"/>
          <w:sz w:val="32"/>
          <w:szCs w:val="32"/>
        </w:rPr>
        <w:t>，企业之间如何分配责任也成为难点。</w:t>
      </w:r>
      <w:r>
        <w:rPr>
          <w:rFonts w:ascii="仿宋_GB2312" w:hAnsi="仿宋_GB2312" w:eastAsia="仿宋_GB2312" w:cs="仿宋_GB2312"/>
          <w:kern w:val="0"/>
          <w:sz w:val="32"/>
          <w:szCs w:val="32"/>
        </w:rPr>
        <w:t>例如，算法</w:t>
      </w:r>
      <w:r>
        <w:rPr>
          <w:rFonts w:hint="eastAsia" w:ascii="仿宋_GB2312" w:hAnsi="仿宋_GB2312" w:eastAsia="仿宋_GB2312" w:cs="仿宋_GB2312"/>
          <w:kern w:val="0"/>
          <w:sz w:val="32"/>
          <w:szCs w:val="32"/>
        </w:rPr>
        <w:t>服务</w:t>
      </w:r>
      <w:r>
        <w:rPr>
          <w:rFonts w:ascii="仿宋_GB2312" w:hAnsi="仿宋_GB2312" w:eastAsia="仿宋_GB2312" w:cs="仿宋_GB2312"/>
          <w:kern w:val="0"/>
          <w:sz w:val="32"/>
          <w:szCs w:val="32"/>
        </w:rPr>
        <w:t>商可能主张其只</w:t>
      </w:r>
      <w:r>
        <w:rPr>
          <w:rFonts w:hint="eastAsia" w:ascii="仿宋_GB2312" w:hAnsi="仿宋_GB2312" w:eastAsia="仿宋_GB2312" w:cs="仿宋_GB2312"/>
          <w:kern w:val="0"/>
          <w:sz w:val="32"/>
          <w:szCs w:val="32"/>
        </w:rPr>
        <w:t>提供</w:t>
      </w:r>
      <w:r>
        <w:rPr>
          <w:rFonts w:ascii="仿宋_GB2312" w:hAnsi="仿宋_GB2312" w:eastAsia="仿宋_GB2312" w:cs="仿宋_GB2312"/>
          <w:kern w:val="0"/>
          <w:sz w:val="32"/>
          <w:szCs w:val="32"/>
        </w:rPr>
        <w:t>通用工具，对具体应用不负全责，而整机制造</w:t>
      </w:r>
      <w:r>
        <w:rPr>
          <w:rFonts w:hint="eastAsia" w:ascii="仿宋_GB2312" w:hAnsi="仿宋_GB2312" w:eastAsia="仿宋_GB2312" w:cs="仿宋_GB2312"/>
          <w:kern w:val="0"/>
          <w:sz w:val="32"/>
          <w:szCs w:val="32"/>
        </w:rPr>
        <w:t>企业</w:t>
      </w:r>
      <w:r>
        <w:rPr>
          <w:rFonts w:ascii="仿宋_GB2312" w:hAnsi="仿宋_GB2312" w:eastAsia="仿宋_GB2312" w:cs="仿宋_GB2312"/>
          <w:kern w:val="0"/>
          <w:sz w:val="32"/>
          <w:szCs w:val="32"/>
        </w:rPr>
        <w:t>则可能认为算法为外部集成组件，不构成其主要控制义务。此类责任分配的不确定性，不仅影响消费者维权效率，也给行政执法</w:t>
      </w:r>
      <w:r>
        <w:rPr>
          <w:rFonts w:hint="eastAsia" w:ascii="仿宋_GB2312" w:hAnsi="仿宋_GB2312" w:eastAsia="仿宋_GB2312" w:cs="仿宋_GB2312"/>
          <w:kern w:val="0"/>
          <w:sz w:val="32"/>
          <w:szCs w:val="32"/>
        </w:rPr>
        <w:t>带来认定难的问题</w:t>
      </w:r>
      <w:r>
        <w:rPr>
          <w:rFonts w:ascii="仿宋_GB2312" w:hAnsi="仿宋_GB2312" w:eastAsia="仿宋_GB2312" w:cs="仿宋_GB2312"/>
          <w:kern w:val="0"/>
          <w:sz w:val="32"/>
          <w:szCs w:val="32"/>
        </w:rPr>
        <w:t>。</w:t>
      </w:r>
    </w:p>
    <w:p w14:paraId="1528BF6B">
      <w:pPr>
        <w:pageBreakBefore w:val="0"/>
        <w:widowControl/>
        <w:kinsoku/>
        <w:overflowPunct/>
        <w:topLinePunct w:val="0"/>
        <w:bidi w:val="0"/>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三、破解“黑箱决策”困境的有温度的执法路径</w:t>
      </w:r>
    </w:p>
    <w:p w14:paraId="274A95EA">
      <w:pPr>
        <w:pageBreakBefore w:val="0"/>
        <w:widowControl/>
        <w:kinsoku/>
        <w:overflowPunct/>
        <w:topLinePunct w:val="0"/>
        <w:bidi w:val="0"/>
        <w:spacing w:line="560" w:lineRule="exact"/>
        <w:ind w:firstLine="643" w:firstLineChars="200"/>
        <w:outlineLvl w:val="1"/>
        <w:rPr>
          <w:rFonts w:ascii="仿宋_GB2312" w:hAnsi="仿宋_GB2312" w:eastAsia="仿宋_GB2312" w:cs="仿宋_GB2312"/>
          <w:kern w:val="0"/>
          <w:sz w:val="32"/>
          <w:szCs w:val="32"/>
        </w:rPr>
      </w:pPr>
      <w:r>
        <w:rPr>
          <w:rFonts w:hint="eastAsia" w:ascii="楷体_GB2312" w:hAnsi="楷体_GB2312" w:eastAsia="楷体_GB2312" w:cs="楷体_GB2312"/>
          <w:b/>
          <w:kern w:val="0"/>
          <w:sz w:val="32"/>
          <w:szCs w:val="32"/>
        </w:rPr>
        <w:t>（一）理顺监管职责，构建分级分类监管体系，深化跨领域跨部门执法协作。</w:t>
      </w:r>
      <w:r>
        <w:rPr>
          <w:rFonts w:hint="eastAsia" w:ascii="仿宋_GB2312" w:hAnsi="仿宋_GB2312" w:eastAsia="仿宋_GB2312" w:cs="仿宋_GB2312"/>
          <w:kern w:val="0"/>
          <w:sz w:val="32"/>
          <w:szCs w:val="32"/>
        </w:rPr>
        <w:t>明确监管职责，</w:t>
      </w:r>
      <w:r>
        <w:rPr>
          <w:rFonts w:ascii="仿宋_GB2312" w:hAnsi="仿宋_GB2312" w:eastAsia="仿宋_GB2312" w:cs="仿宋_GB2312"/>
          <w:kern w:val="0"/>
          <w:sz w:val="32"/>
          <w:szCs w:val="32"/>
        </w:rPr>
        <w:t>事前</w:t>
      </w:r>
      <w:r>
        <w:rPr>
          <w:rFonts w:hint="eastAsia" w:ascii="仿宋_GB2312" w:hAnsi="仿宋_GB2312" w:eastAsia="仿宋_GB2312" w:cs="仿宋_GB2312"/>
          <w:kern w:val="0"/>
          <w:sz w:val="32"/>
          <w:szCs w:val="32"/>
        </w:rPr>
        <w:t>的技</w:t>
      </w:r>
      <w:r>
        <w:rPr>
          <w:rFonts w:ascii="仿宋_GB2312" w:hAnsi="仿宋_GB2312" w:eastAsia="仿宋_GB2312" w:cs="仿宋_GB2312"/>
          <w:kern w:val="0"/>
          <w:sz w:val="32"/>
          <w:szCs w:val="32"/>
        </w:rPr>
        <w:t>术准入、</w:t>
      </w:r>
      <w:r>
        <w:rPr>
          <w:rFonts w:hint="eastAsia" w:ascii="仿宋_GB2312" w:hAnsi="仿宋_GB2312" w:eastAsia="仿宋_GB2312" w:cs="仿宋_GB2312"/>
          <w:kern w:val="0"/>
          <w:sz w:val="32"/>
          <w:szCs w:val="32"/>
          <w:lang w:eastAsia="zh-CN"/>
        </w:rPr>
        <w:t>算法统筹、</w:t>
      </w:r>
      <w:r>
        <w:rPr>
          <w:rFonts w:ascii="仿宋_GB2312" w:hAnsi="仿宋_GB2312" w:eastAsia="仿宋_GB2312" w:cs="仿宋_GB2312"/>
          <w:kern w:val="0"/>
          <w:sz w:val="32"/>
          <w:szCs w:val="32"/>
        </w:rPr>
        <w:t>数据合规</w:t>
      </w:r>
      <w:r>
        <w:rPr>
          <w:rFonts w:hint="eastAsia" w:ascii="仿宋_GB2312" w:hAnsi="仿宋_GB2312" w:eastAsia="仿宋_GB2312" w:cs="仿宋_GB2312"/>
          <w:kern w:val="0"/>
          <w:sz w:val="32"/>
          <w:szCs w:val="32"/>
        </w:rPr>
        <w:t>、伦理审查、</w:t>
      </w:r>
      <w:r>
        <w:rPr>
          <w:rFonts w:ascii="仿宋_GB2312" w:hAnsi="仿宋_GB2312" w:eastAsia="仿宋_GB2312" w:cs="仿宋_GB2312"/>
          <w:kern w:val="0"/>
          <w:sz w:val="32"/>
          <w:szCs w:val="32"/>
        </w:rPr>
        <w:t>产品</w:t>
      </w:r>
      <w:r>
        <w:rPr>
          <w:rFonts w:hint="eastAsia" w:ascii="仿宋_GB2312" w:hAnsi="仿宋_GB2312" w:eastAsia="仿宋_GB2312" w:cs="仿宋_GB2312"/>
          <w:kern w:val="0"/>
          <w:sz w:val="32"/>
          <w:szCs w:val="32"/>
          <w:lang w:eastAsia="zh-CN"/>
        </w:rPr>
        <w:t>强制性</w:t>
      </w:r>
      <w:r>
        <w:rPr>
          <w:rFonts w:ascii="仿宋_GB2312" w:hAnsi="仿宋_GB2312" w:eastAsia="仿宋_GB2312" w:cs="仿宋_GB2312"/>
          <w:kern w:val="0"/>
          <w:sz w:val="32"/>
          <w:szCs w:val="32"/>
        </w:rPr>
        <w:t>认证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工业生产许可证件发放规定、</w:t>
      </w:r>
      <w:r>
        <w:rPr>
          <w:rFonts w:hint="eastAsia" w:ascii="仿宋_GB2312" w:hAnsi="仿宋_GB2312" w:eastAsia="仿宋_GB2312" w:cs="仿宋_GB2312"/>
          <w:kern w:val="0"/>
          <w:sz w:val="32"/>
          <w:szCs w:val="32"/>
        </w:rPr>
        <w:t>标准发布及检验检测机构监管可由</w:t>
      </w:r>
      <w:r>
        <w:rPr>
          <w:rFonts w:ascii="仿宋_GB2312" w:hAnsi="仿宋_GB2312" w:eastAsia="仿宋_GB2312" w:cs="仿宋_GB2312"/>
          <w:kern w:val="0"/>
          <w:sz w:val="32"/>
          <w:szCs w:val="32"/>
        </w:rPr>
        <w:t>网信办</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工信</w:t>
      </w:r>
      <w:r>
        <w:rPr>
          <w:rFonts w:hint="eastAsia" w:ascii="仿宋_GB2312" w:hAnsi="仿宋_GB2312" w:eastAsia="仿宋_GB2312" w:cs="仿宋_GB2312"/>
          <w:kern w:val="0"/>
          <w:sz w:val="32"/>
          <w:szCs w:val="32"/>
        </w:rPr>
        <w:t>部、科技部和</w:t>
      </w:r>
      <w:r>
        <w:rPr>
          <w:rFonts w:ascii="仿宋_GB2312" w:hAnsi="仿宋_GB2312" w:eastAsia="仿宋_GB2312" w:cs="仿宋_GB2312"/>
          <w:kern w:val="0"/>
          <w:sz w:val="32"/>
          <w:szCs w:val="32"/>
        </w:rPr>
        <w:t>市场监管总局</w:t>
      </w:r>
      <w:r>
        <w:rPr>
          <w:rFonts w:hint="eastAsia" w:ascii="仿宋_GB2312" w:hAnsi="仿宋_GB2312" w:eastAsia="仿宋_GB2312" w:cs="仿宋_GB2312"/>
          <w:kern w:val="0"/>
          <w:sz w:val="32"/>
          <w:szCs w:val="32"/>
        </w:rPr>
        <w:t>依据职能分工负责；</w:t>
      </w:r>
      <w:r>
        <w:rPr>
          <w:rFonts w:ascii="仿宋_GB2312" w:hAnsi="仿宋_GB2312" w:eastAsia="仿宋_GB2312" w:cs="仿宋_GB2312"/>
          <w:kern w:val="0"/>
          <w:sz w:val="32"/>
          <w:szCs w:val="32"/>
        </w:rPr>
        <w:t>事中环节质量监督、安全风险管控</w:t>
      </w:r>
      <w:r>
        <w:rPr>
          <w:rFonts w:hint="eastAsia" w:ascii="仿宋_GB2312" w:hAnsi="仿宋_GB2312" w:eastAsia="仿宋_GB2312" w:cs="仿宋_GB2312"/>
          <w:kern w:val="0"/>
          <w:sz w:val="32"/>
          <w:szCs w:val="32"/>
        </w:rPr>
        <w:t>，可由公安、交通、应急等各行业主管部门对应进行监管检查；事后的责任认定、行政处罚和司法监督由公安及其他有处罚权的部门进行，必要时可请法院、检察院提前介入调查。</w:t>
      </w:r>
    </w:p>
    <w:p w14:paraId="0107887C">
      <w:pPr>
        <w:pageBreakBefore w:val="0"/>
        <w:widowControl/>
        <w:kinsoku/>
        <w:overflowPunct/>
        <w:topLinePunct w:val="0"/>
        <w:bidi w:val="0"/>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针对确实较难确定权责的情况，可探索建</w:t>
      </w:r>
      <w:r>
        <w:rPr>
          <w:rFonts w:ascii="仿宋_GB2312" w:hAnsi="仿宋_GB2312" w:eastAsia="仿宋_GB2312" w:cs="仿宋_GB2312"/>
          <w:kern w:val="0"/>
          <w:sz w:val="32"/>
          <w:szCs w:val="32"/>
        </w:rPr>
        <w:t>立AI产品跨部门协同监管机制</w:t>
      </w:r>
      <w:r>
        <w:rPr>
          <w:rFonts w:hint="eastAsia" w:ascii="仿宋_GB2312" w:hAnsi="仿宋_GB2312" w:eastAsia="仿宋_GB2312" w:cs="仿宋_GB2312"/>
          <w:kern w:val="0"/>
          <w:sz w:val="32"/>
          <w:szCs w:val="32"/>
        </w:rPr>
        <w:t>，如</w:t>
      </w:r>
      <w:r>
        <w:rPr>
          <w:rFonts w:ascii="仿宋_GB2312" w:hAnsi="仿宋_GB2312" w:eastAsia="仿宋_GB2312" w:cs="仿宋_GB2312"/>
          <w:kern w:val="0"/>
          <w:sz w:val="32"/>
          <w:szCs w:val="32"/>
        </w:rPr>
        <w:t>AI产品质量安全</w:t>
      </w:r>
      <w:r>
        <w:rPr>
          <w:rFonts w:hint="eastAsia" w:ascii="仿宋_GB2312" w:hAnsi="仿宋_GB2312" w:eastAsia="仿宋_GB2312" w:cs="仿宋_GB2312"/>
          <w:kern w:val="0"/>
          <w:sz w:val="32"/>
          <w:szCs w:val="32"/>
        </w:rPr>
        <w:t>委员会，</w:t>
      </w:r>
      <w:r>
        <w:rPr>
          <w:rFonts w:ascii="仿宋_GB2312" w:hAnsi="仿宋_GB2312" w:eastAsia="仿宋_GB2312" w:cs="仿宋_GB2312"/>
          <w:kern w:val="0"/>
          <w:sz w:val="32"/>
          <w:szCs w:val="32"/>
        </w:rPr>
        <w:t>统筹协调工信</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网信</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公安、市场监管、</w:t>
      </w:r>
      <w:r>
        <w:rPr>
          <w:rFonts w:hint="eastAsia" w:ascii="仿宋_GB2312" w:hAnsi="仿宋_GB2312" w:eastAsia="仿宋_GB2312" w:cs="仿宋_GB2312"/>
          <w:kern w:val="0"/>
          <w:sz w:val="32"/>
          <w:szCs w:val="32"/>
        </w:rPr>
        <w:t>以及其他有执法权的行业主管部门</w:t>
      </w:r>
      <w:r>
        <w:rPr>
          <w:rFonts w:ascii="仿宋_GB2312" w:hAnsi="仿宋_GB2312" w:eastAsia="仿宋_GB2312" w:cs="仿宋_GB2312"/>
          <w:kern w:val="0"/>
          <w:sz w:val="32"/>
          <w:szCs w:val="32"/>
        </w:rPr>
        <w:t>等在实际执法中推动</w:t>
      </w:r>
      <w:r>
        <w:rPr>
          <w:rFonts w:hint="eastAsia" w:ascii="仿宋_GB2312" w:hAnsi="仿宋_GB2312" w:eastAsia="仿宋_GB2312" w:cs="仿宋_GB2312"/>
          <w:kern w:val="0"/>
          <w:sz w:val="32"/>
          <w:szCs w:val="32"/>
        </w:rPr>
        <w:t>信</w:t>
      </w:r>
      <w:r>
        <w:rPr>
          <w:rFonts w:ascii="仿宋_GB2312" w:hAnsi="仿宋_GB2312" w:eastAsia="仿宋_GB2312" w:cs="仿宋_GB2312"/>
          <w:kern w:val="0"/>
          <w:sz w:val="32"/>
          <w:szCs w:val="32"/>
        </w:rPr>
        <w:t>息共享</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联合执法</w:t>
      </w:r>
      <w:r>
        <w:rPr>
          <w:rFonts w:hint="eastAsia" w:ascii="仿宋_GB2312" w:hAnsi="仿宋_GB2312" w:eastAsia="仿宋_GB2312" w:cs="仿宋_GB2312"/>
          <w:kern w:val="0"/>
          <w:sz w:val="32"/>
          <w:szCs w:val="32"/>
        </w:rPr>
        <w:t>。同时，可借鉴</w:t>
      </w:r>
      <w:r>
        <w:rPr>
          <w:rFonts w:ascii="仿宋_GB2312" w:hAnsi="仿宋_GB2312" w:eastAsia="仿宋_GB2312" w:cs="仿宋_GB2312"/>
          <w:kern w:val="0"/>
          <w:sz w:val="32"/>
          <w:szCs w:val="32"/>
        </w:rPr>
        <w:t>欧盟《人工智能法案》</w:t>
      </w:r>
      <w:r>
        <w:rPr>
          <w:rFonts w:hint="eastAsia" w:ascii="仿宋_GB2312" w:hAnsi="仿宋_GB2312" w:eastAsia="仿宋_GB2312" w:cs="仿宋_GB2312"/>
          <w:kern w:val="0"/>
          <w:sz w:val="32"/>
          <w:szCs w:val="32"/>
        </w:rPr>
        <w:t>对产品的风</w:t>
      </w:r>
      <w:r>
        <w:rPr>
          <w:rFonts w:ascii="仿宋_GB2312" w:hAnsi="仿宋_GB2312" w:eastAsia="仿宋_GB2312" w:cs="仿宋_GB2312"/>
          <w:kern w:val="0"/>
          <w:sz w:val="32"/>
          <w:szCs w:val="32"/>
        </w:rPr>
        <w:t>险程度</w:t>
      </w:r>
      <w:r>
        <w:rPr>
          <w:rFonts w:hint="eastAsia" w:ascii="仿宋_GB2312" w:hAnsi="仿宋_GB2312" w:eastAsia="仿宋_GB2312" w:cs="仿宋_GB2312"/>
          <w:kern w:val="0"/>
          <w:sz w:val="32"/>
          <w:szCs w:val="32"/>
        </w:rPr>
        <w:t>进行分级。在欧盟，风险等级共划分4类：不可接受的风险主要由人工智能办公室及欧盟人工智能委员会监管；高风险产品的监管责任主要由国家</w:t>
      </w:r>
      <w:r>
        <w:rPr>
          <w:rFonts w:ascii="仿宋_GB2312" w:hAnsi="仿宋_GB2312" w:eastAsia="仿宋_GB2312" w:cs="仿宋_GB2312"/>
          <w:kern w:val="0"/>
          <w:sz w:val="32"/>
          <w:szCs w:val="32"/>
        </w:rPr>
        <w:t>主管机关</w:t>
      </w:r>
      <w:r>
        <w:rPr>
          <w:rFonts w:hint="eastAsia" w:ascii="仿宋_GB2312" w:hAnsi="仿宋_GB2312" w:eastAsia="仿宋_GB2312" w:cs="仿宋_GB2312"/>
          <w:kern w:val="0"/>
          <w:sz w:val="32"/>
          <w:szCs w:val="32"/>
        </w:rPr>
        <w:t>与欧盟层级机关共同监管；有限风险产品由</w:t>
      </w:r>
      <w:r>
        <w:rPr>
          <w:rFonts w:ascii="仿宋_GB2312" w:hAnsi="仿宋_GB2312" w:eastAsia="仿宋_GB2312" w:cs="仿宋_GB2312"/>
          <w:kern w:val="0"/>
          <w:sz w:val="32"/>
          <w:szCs w:val="32"/>
        </w:rPr>
        <w:t>开发者与提供者自我监督</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成员国主管机关抽查监督</w:t>
      </w:r>
      <w:r>
        <w:rPr>
          <w:rFonts w:hint="eastAsia" w:ascii="仿宋_GB2312" w:hAnsi="仿宋_GB2312" w:eastAsia="仿宋_GB2312" w:cs="仿宋_GB2312"/>
          <w:kern w:val="0"/>
          <w:sz w:val="32"/>
          <w:szCs w:val="32"/>
        </w:rPr>
        <w:t>；最小风险产品主要依靠行业自律。我国可对照设立</w:t>
      </w:r>
      <w:r>
        <w:rPr>
          <w:rFonts w:ascii="仿宋_GB2312" w:hAnsi="仿宋_GB2312" w:eastAsia="仿宋_GB2312" w:cs="仿宋_GB2312"/>
          <w:kern w:val="0"/>
          <w:sz w:val="32"/>
          <w:szCs w:val="32"/>
        </w:rPr>
        <w:t>AI产品风险等级</w:t>
      </w:r>
      <w:r>
        <w:rPr>
          <w:rFonts w:hint="eastAsia" w:ascii="仿宋_GB2312" w:hAnsi="仿宋_GB2312" w:eastAsia="仿宋_GB2312" w:cs="仿宋_GB2312"/>
          <w:kern w:val="0"/>
          <w:sz w:val="32"/>
          <w:szCs w:val="32"/>
        </w:rPr>
        <w:t>，依照对国家、社会及人身财产危险程度划分高中低风险产品，高风险产品由AI产品质量安全委员会</w:t>
      </w:r>
      <w:r>
        <w:rPr>
          <w:rFonts w:hint="eastAsia" w:ascii="仿宋_GB2312" w:hAnsi="仿宋_GB2312" w:eastAsia="仿宋_GB2312" w:cs="仿宋_GB2312"/>
          <w:kern w:val="0"/>
          <w:sz w:val="32"/>
          <w:szCs w:val="32"/>
          <w:lang w:eastAsia="zh-CN"/>
        </w:rPr>
        <w:t>各部门依据职责</w:t>
      </w:r>
      <w:r>
        <w:rPr>
          <w:rFonts w:hint="eastAsia" w:ascii="仿宋_GB2312" w:hAnsi="仿宋_GB2312" w:eastAsia="仿宋_GB2312" w:cs="仿宋_GB2312"/>
          <w:kern w:val="0"/>
          <w:sz w:val="32"/>
          <w:szCs w:val="32"/>
        </w:rPr>
        <w:t>监管；中风险产品可由地方</w:t>
      </w:r>
      <w:r>
        <w:rPr>
          <w:rFonts w:hint="eastAsia" w:ascii="仿宋_GB2312" w:hAnsi="仿宋_GB2312" w:eastAsia="仿宋_GB2312" w:cs="仿宋_GB2312"/>
          <w:kern w:val="0"/>
          <w:sz w:val="32"/>
          <w:szCs w:val="32"/>
          <w:lang w:eastAsia="zh-CN"/>
        </w:rPr>
        <w:t>主管</w:t>
      </w:r>
      <w:r>
        <w:rPr>
          <w:rFonts w:hint="eastAsia" w:ascii="仿宋_GB2312" w:hAnsi="仿宋_GB2312" w:eastAsia="仿宋_GB2312" w:cs="仿宋_GB2312"/>
          <w:kern w:val="0"/>
          <w:sz w:val="32"/>
          <w:szCs w:val="32"/>
        </w:rPr>
        <w:t>部门进行监管和发放</w:t>
      </w:r>
      <w:r>
        <w:rPr>
          <w:rFonts w:hint="eastAsia" w:ascii="仿宋_GB2312" w:hAnsi="仿宋_GB2312" w:eastAsia="仿宋_GB2312" w:cs="仿宋_GB2312"/>
          <w:kern w:val="0"/>
          <w:sz w:val="32"/>
          <w:szCs w:val="32"/>
          <w:lang w:eastAsia="zh-CN"/>
        </w:rPr>
        <w:t>工业生产</w:t>
      </w:r>
      <w:r>
        <w:rPr>
          <w:rFonts w:hint="eastAsia" w:ascii="仿宋_GB2312" w:hAnsi="仿宋_GB2312" w:eastAsia="仿宋_GB2312" w:cs="仿宋_GB2312"/>
          <w:kern w:val="0"/>
          <w:sz w:val="32"/>
          <w:szCs w:val="32"/>
        </w:rPr>
        <w:t>许可证；低风险产品由网信部门监测</w:t>
      </w:r>
      <w:r>
        <w:rPr>
          <w:rFonts w:hint="eastAsia" w:ascii="仿宋_GB2312" w:hAnsi="仿宋_GB2312" w:eastAsia="仿宋_GB2312" w:cs="仿宋_GB2312"/>
          <w:kern w:val="0"/>
          <w:sz w:val="32"/>
          <w:szCs w:val="32"/>
          <w:lang w:eastAsia="zh-CN"/>
        </w:rPr>
        <w:t>、地方行业主管部门监管</w:t>
      </w:r>
      <w:r>
        <w:rPr>
          <w:rFonts w:hint="eastAsia" w:ascii="仿宋_GB2312" w:hAnsi="仿宋_GB2312" w:eastAsia="仿宋_GB2312" w:cs="仿宋_GB2312"/>
          <w:kern w:val="0"/>
          <w:sz w:val="32"/>
          <w:szCs w:val="32"/>
        </w:rPr>
        <w:t>，如果发生危机情况，各行业主管可随时介入。</w:t>
      </w:r>
    </w:p>
    <w:p w14:paraId="60B7968B">
      <w:pPr>
        <w:pageBreakBefore w:val="0"/>
        <w:kinsoku/>
        <w:overflowPunct/>
        <w:topLinePunct w:val="0"/>
        <w:autoSpaceDE w:val="0"/>
        <w:autoSpaceDN w:val="0"/>
        <w:bidi w:val="0"/>
        <w:adjustRightInd w:val="0"/>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w:t>
      </w:r>
      <w:r>
        <w:rPr>
          <w:rFonts w:ascii="楷体_GB2312" w:hAnsi="楷体_GB2312" w:eastAsia="楷体_GB2312" w:cs="楷体_GB2312"/>
          <w:b/>
          <w:kern w:val="0"/>
          <w:sz w:val="32"/>
          <w:szCs w:val="32"/>
        </w:rPr>
        <w:t>破解取证障碍</w:t>
      </w:r>
      <w:r>
        <w:rPr>
          <w:rFonts w:hint="eastAsia" w:ascii="楷体_GB2312" w:hAnsi="楷体_GB2312" w:eastAsia="楷体_GB2312" w:cs="楷体_GB2312"/>
          <w:b/>
          <w:kern w:val="0"/>
          <w:sz w:val="32"/>
          <w:szCs w:val="32"/>
        </w:rPr>
        <w:t>，坚持立法先行，制度创新利用技术赋能。</w:t>
      </w:r>
    </w:p>
    <w:p w14:paraId="3DC79AA8">
      <w:pPr>
        <w:pageBreakBefore w:val="0"/>
        <w:widowControl/>
        <w:kinsoku/>
        <w:overflowPunct/>
        <w:topLinePunct w:val="0"/>
        <w:bidi w:val="0"/>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执法人员“看不懂“和”不理解“的问题，可在相关法条中确立AI产品的“可解释性义务”，将算法行为的可溯性与解释机制纳入产品要求，为执法机关在技术审查、缺陷认定及行政处罚中提供理解基础。同时，可借鉴知识产权案件，引入技术调查官和第三方专业鉴定机构，健全机制并扩充技术调查官库和鉴定机构库，为行政执法、司法审理与检察监督提供算法分析、系统溯源、数据审计、缺陷识别等方面的专业支撑，协助执法人员对复杂AI系统进行专业技术事实认定。在执法人员能理解的基础上进行“有温度执法”，结合技术复杂程度、企业主观过错程度与社会危害后果，因事、因责、因人设定处罚标准，避免机械执法与过度惩处。</w:t>
      </w:r>
    </w:p>
    <w:p w14:paraId="05EB1AC5">
      <w:pPr>
        <w:pageBreakBefore w:val="0"/>
        <w:widowControl/>
        <w:kinsoku/>
        <w:overflowPunct/>
        <w:topLinePunct w:val="0"/>
        <w:bidi w:val="0"/>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针对取证难的问题，应全面提升电子数据取证能力，完善电子数据证据的机制。出台配套工业智能产品质量执法电子数据取证相关规范，明确采集路径、格式标准、数据完整性验证要求。鼓励执法人员使用区块链存证、日志时间戳等技术手段，提高证据的可追溯性与可信度。广西目前</w:t>
      </w:r>
      <w:r>
        <w:rPr>
          <w:rFonts w:hint="eastAsia" w:ascii="仿宋_GB2312" w:hAnsi="仿宋_GB2312" w:eastAsia="仿宋_GB2312" w:cs="仿宋_GB2312"/>
          <w:kern w:val="0"/>
          <w:sz w:val="32"/>
          <w:szCs w:val="32"/>
          <w:lang w:eastAsia="zh-CN"/>
        </w:rPr>
        <w:t>正在建设</w:t>
      </w:r>
      <w:r>
        <w:rPr>
          <w:rFonts w:hint="eastAsia" w:ascii="仿宋_GB2312" w:hAnsi="仿宋_GB2312" w:eastAsia="仿宋_GB2312" w:cs="仿宋_GB2312"/>
          <w:kern w:val="0"/>
          <w:sz w:val="32"/>
          <w:szCs w:val="32"/>
        </w:rPr>
        <w:t>省级电子数据取证中心实验室，下一步将在区内建设多个人才培养基地，辐射全区执法办案。同时，广西可探索推动“数字监管平台”试点建设，支持监管人员对高风险产品进行远程调用日志、代码审计、沙箱测试等数字执法措施，执法全过程留痕制度，提升执法过程的客观性与合法性。</w:t>
      </w:r>
    </w:p>
    <w:p w14:paraId="2F770478">
      <w:pPr>
        <w:pageBreakBefore w:val="0"/>
        <w:kinsoku/>
        <w:overflowPunct/>
        <w:topLinePunct w:val="0"/>
        <w:autoSpaceDE w:val="0"/>
        <w:autoSpaceDN w:val="0"/>
        <w:bidi w:val="0"/>
        <w:adjustRightInd w:val="0"/>
        <w:spacing w:line="560" w:lineRule="exact"/>
        <w:ind w:firstLine="321" w:firstLineChars="1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（三）完善</w:t>
      </w:r>
      <w:r>
        <w:rPr>
          <w:rFonts w:ascii="楷体_GB2312" w:hAnsi="楷体_GB2312" w:eastAsia="楷体_GB2312" w:cs="楷体_GB2312"/>
          <w:b/>
          <w:kern w:val="0"/>
          <w:sz w:val="32"/>
          <w:szCs w:val="32"/>
        </w:rPr>
        <w:t>责任</w:t>
      </w:r>
      <w:r>
        <w:rPr>
          <w:rFonts w:hint="eastAsia" w:ascii="楷体_GB2312" w:hAnsi="楷体_GB2312" w:eastAsia="楷体_GB2312" w:cs="楷体_GB2312"/>
          <w:b/>
          <w:kern w:val="0"/>
          <w:sz w:val="32"/>
          <w:szCs w:val="32"/>
        </w:rPr>
        <w:t>认定机制</w:t>
      </w:r>
      <w:r>
        <w:rPr>
          <w:rFonts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rPr>
        <w:t>纵深推进有温度的执法，</w:t>
      </w:r>
      <w:r>
        <w:rPr>
          <w:rFonts w:ascii="楷体_GB2312" w:hAnsi="楷体_GB2312" w:eastAsia="楷体_GB2312" w:cs="楷体_GB2312"/>
          <w:b/>
          <w:kern w:val="0"/>
          <w:sz w:val="32"/>
          <w:szCs w:val="32"/>
        </w:rPr>
        <w:t>强化智能产品全链条</w:t>
      </w:r>
      <w:r>
        <w:rPr>
          <w:rFonts w:hint="eastAsia" w:ascii="楷体_GB2312" w:hAnsi="楷体_GB2312" w:eastAsia="楷体_GB2312" w:cs="楷体_GB2312"/>
          <w:b/>
          <w:kern w:val="0"/>
          <w:sz w:val="32"/>
          <w:szCs w:val="32"/>
        </w:rPr>
        <w:t>监管</w:t>
      </w:r>
      <w:r>
        <w:rPr>
          <w:rFonts w:ascii="楷体_GB2312" w:hAnsi="楷体_GB2312" w:eastAsia="楷体_GB2312" w:cs="楷体_GB2312"/>
          <w:b/>
          <w:kern w:val="0"/>
          <w:sz w:val="32"/>
          <w:szCs w:val="32"/>
        </w:rPr>
        <w:t>治理</w:t>
      </w:r>
    </w:p>
    <w:p w14:paraId="452DCD1D">
      <w:pPr>
        <w:pageBreakBefore w:val="0"/>
        <w:widowControl/>
        <w:kinsoku/>
        <w:overflowPunct/>
        <w:topLinePunct w:val="0"/>
        <w:bidi w:val="0"/>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首先，确立首要责任人的归责原则。借鉴欧盟《产品责任指令》修订草案和《人工智能法案》对开发者、提供者、使用者的责任分类思路，我国可对算法开发者、数据提供者、系统集成商、产品制造商、服务运营方和使用操控者等责任主体，依照其在产品生命周期中所处位置及对风险的控制能力，明确首要责任方与补充责任方。对于AI起辅助作用的一般性产品，可将算法缺陷归于开发者或拥有该算法知识产权的企业为首要执法对象；数据偏差或采集错误，则应视数据提供者与控制算法者的责任关系，明确主要责任方；对于涉及原材料、传感器、芯片等外部部件的瑕疵，应引入连带责任机制，促使供应链各方对产品质量共同承担法律风险。对AI起主要主要作用的高度集成产品，如无人车、智能工业机器人等产品，可规定整机商为第一责任人，其可依法向各技术提供者进行追偿，强化对外责任统一。</w:t>
      </w:r>
    </w:p>
    <w:p w14:paraId="6DC6816A">
      <w:pPr>
        <w:pageBreakBefore w:val="0"/>
        <w:widowControl/>
        <w:kinsoku/>
        <w:overflowPunct/>
        <w:topLinePunct w:val="0"/>
        <w:bidi w:val="0"/>
        <w:spacing w:line="56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创新责任形式安排，填补智能产品立法空白。在修订《产品质量法》中，可尝试增设“智能产品缺陷”条款，明确“算法缺陷”“模型偏误”属于产品缺陷范畴，并扩展“共同侵权”的适用情形。例如，对因数据偏差与算法交互导致的安全事故，若数据服务商与算法提供方均对风险有可预见性，可依法认定为共同侵权。同时引入风险预防责任制，要求企业在产品设计与上线阶段实施技术审计和安全评估，对未尽合理预防义务的主体赋予惩罚性责任，促使企业形成“设计即合规”的治理理念。</w:t>
      </w:r>
    </w:p>
    <w:p w14:paraId="791C43E0">
      <w:pPr>
        <w:pageBreakBefore w:val="0"/>
        <w:widowControl/>
        <w:kinsoku/>
        <w:overflowPunct/>
        <w:topLinePunct w:val="0"/>
        <w:bidi w:val="0"/>
        <w:spacing w:line="560" w:lineRule="exact"/>
        <w:ind w:firstLine="640" w:firstLineChars="200"/>
        <w:outlineLvl w:val="1"/>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kern w:val="0"/>
          <w:sz w:val="32"/>
          <w:szCs w:val="32"/>
        </w:rPr>
        <w:t>第三，推动责任</w:t>
      </w:r>
      <w:r>
        <w:rPr>
          <w:rFonts w:hint="eastAsia" w:ascii="仿宋_GB2312" w:hAnsi="仿宋_GB2312" w:eastAsia="仿宋_GB2312" w:cs="仿宋_GB2312"/>
          <w:kern w:val="0"/>
          <w:sz w:val="32"/>
          <w:szCs w:val="32"/>
          <w:lang w:eastAsia="zh-CN"/>
        </w:rPr>
        <w:t>承担</w:t>
      </w:r>
      <w:r>
        <w:rPr>
          <w:rFonts w:hint="eastAsia" w:ascii="仿宋_GB2312" w:hAnsi="仿宋_GB2312" w:eastAsia="仿宋_GB2312" w:cs="仿宋_GB2312"/>
          <w:kern w:val="0"/>
          <w:sz w:val="32"/>
          <w:szCs w:val="32"/>
        </w:rPr>
        <w:t>合理划分，突出执法的温度。在责任边界模糊、归责成本高昂的情形下，行政机关可先行适用风险提示、限期整改、三书一函等非惩罚性手段，避免“一罚了之”。对于企业已经尽到合理注意义务并最小化人身安全和财产损失受到伤害，但是因机器学习算法出现问题等情况，可通过规范自由裁量基准，合理设置免责条款。明确责任后，对于轻微违法且积极整改的首要责任企业，应赋予免罚或整改空间，形成“处罚—辅导—再审查”的闭环执法路径。对于对给人身及财产安全带来较大危险性的行为，执法机关在作出处罚前，应对行为事实、法律适用、技术原理进行充分说明，避免“一纸命令”式生硬处理，增强企业理解与认同。此外，为更高效处理智能产品责任争议，市场监管部门等行业主管单位可与法院联合挂牌设立AI责任调解中心，企业代表、执法机关、技术调查官和法官等多方参与调解。在此基础上，广西可率先开展制度创新试点，设立面向本地AI企业的“桂商卡”机制，搭建连接企业、律师和技术专家的服务网络。在企业因责任认定发生争议时，可通过“桂商卡”获得覆盖合规辅导、技术论证、法律咨询等的一站式支持服务，既有助于降低中小企业维权与应对成本，也有利于推动建立更加清晰、透明、包容的智能产品责任治理生态</w:t>
      </w:r>
      <w:r>
        <w:rPr>
          <w:rFonts w:hint="eastAsia" w:ascii="仿宋_GB2312" w:hAnsi="仿宋_GB2312" w:eastAsia="仿宋_GB2312" w:cs="仿宋_GB2312"/>
          <w:kern w:val="0"/>
          <w:sz w:val="32"/>
          <w:szCs w:val="32"/>
          <w:lang w:eastAsia="zh-CN"/>
        </w:rPr>
        <w:t>，为高质量发展提供新动能。</w:t>
      </w:r>
    </w:p>
    <w:p w14:paraId="2FB441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28109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322E90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人工智能赋能特种设备智慧监管模式研究</w:t>
      </w:r>
    </w:p>
    <w:p w14:paraId="7158B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 w:eastAsia="zh-CN"/>
        </w:rPr>
      </w:pPr>
    </w:p>
    <w:p w14:paraId="74AB8707">
      <w:pPr>
        <w:keepNext w:val="0"/>
        <w:keepLines w:val="0"/>
        <w:pageBreakBefore w:val="0"/>
        <w:widowControl w:val="0"/>
        <w:kinsoku/>
        <w:wordWrap/>
        <w:overflowPunct/>
        <w:topLinePunct w:val="0"/>
        <w:autoSpaceDE/>
        <w:autoSpaceDN/>
        <w:bidi w:val="0"/>
        <w:adjustRightInd/>
        <w:snapToGrid/>
        <w:spacing w:line="560" w:lineRule="exact"/>
        <w:ind w:left="2959" w:leftChars="190" w:hanging="2560" w:hangingChars="800"/>
        <w:textAlignment w:val="auto"/>
        <w:rPr>
          <w:rFonts w:hint="eastAsia" w:ascii="方正楷体_GBK" w:hAnsi="方正楷体_GBK" w:eastAsia="方正楷体_GBK" w:cs="方正楷体_GBK"/>
          <w:sz w:val="32"/>
          <w:szCs w:val="32"/>
          <w:lang w:val="en" w:eastAsia="zh-CN"/>
        </w:rPr>
      </w:pPr>
      <w:r>
        <w:rPr>
          <w:rFonts w:hint="eastAsia" w:ascii="方正楷体_GBK" w:hAnsi="方正楷体_GBK" w:eastAsia="方正楷体_GBK" w:cs="方正楷体_GBK"/>
          <w:sz w:val="32"/>
          <w:szCs w:val="32"/>
          <w:lang w:val="en" w:eastAsia="zh-CN"/>
        </w:rPr>
        <w:t>作者：赖泰君</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i w:val="0"/>
          <w:iCs w:val="0"/>
          <w:caps w:val="0"/>
          <w:color w:val="auto"/>
          <w:spacing w:val="0"/>
          <w:kern w:val="0"/>
          <w:sz w:val="32"/>
          <w:szCs w:val="32"/>
          <w:u w:val="none"/>
          <w:shd w:val="clear" w:color="auto" w:fill="FFFFFF"/>
          <w:lang w:val="en-US" w:eastAsia="zh-CN" w:bidi="ar"/>
        </w:rPr>
        <w:t>广西壮族自治区市场监督管理局 特种设备 安全监察处处长</w:t>
      </w:r>
    </w:p>
    <w:p w14:paraId="292E6CE5">
      <w:pPr>
        <w:keepNext w:val="0"/>
        <w:keepLines w:val="0"/>
        <w:pageBreakBefore w:val="0"/>
        <w:widowControl w:val="0"/>
        <w:kinsoku/>
        <w:wordWrap/>
        <w:overflowPunct/>
        <w:topLinePunct w:val="0"/>
        <w:autoSpaceDE/>
        <w:autoSpaceDN/>
        <w:bidi w:val="0"/>
        <w:adjustRightInd/>
        <w:snapToGrid/>
        <w:spacing w:line="560" w:lineRule="exact"/>
        <w:ind w:left="2996" w:leftChars="665" w:hanging="1600" w:hangingChars="500"/>
        <w:textAlignment w:val="auto"/>
        <w:rPr>
          <w:rFonts w:hint="eastAsia" w:ascii="方正楷体_GBK" w:hAnsi="方正楷体_GBK" w:eastAsia="方正楷体_GBK" w:cs="方正楷体_GBK"/>
          <w:i w:val="0"/>
          <w:iCs w:val="0"/>
          <w:caps w:val="0"/>
          <w:color w:val="auto"/>
          <w:spacing w:val="0"/>
          <w:kern w:val="0"/>
          <w:sz w:val="32"/>
          <w:szCs w:val="32"/>
          <w:u w:val="none"/>
          <w:shd w:val="clear" w:color="auto" w:fill="FFFFFF"/>
          <w:lang w:val="en-US" w:eastAsia="zh-CN" w:bidi="ar"/>
        </w:rPr>
      </w:pPr>
      <w:r>
        <w:rPr>
          <w:rFonts w:hint="eastAsia" w:ascii="方正楷体_GBK" w:hAnsi="方正楷体_GBK" w:eastAsia="方正楷体_GBK" w:cs="方正楷体_GBK"/>
          <w:i w:val="0"/>
          <w:iCs w:val="0"/>
          <w:caps w:val="0"/>
          <w:color w:val="auto"/>
          <w:spacing w:val="0"/>
          <w:kern w:val="0"/>
          <w:sz w:val="32"/>
          <w:szCs w:val="32"/>
          <w:u w:val="none"/>
          <w:shd w:val="clear" w:color="auto" w:fill="FFFFFF"/>
          <w:lang w:val="en-US" w:eastAsia="zh-CN" w:bidi="ar"/>
        </w:rPr>
        <w:t xml:space="preserve">陶  金  </w:t>
      </w:r>
      <w:r>
        <w:rPr>
          <w:rFonts w:hint="eastAsia" w:ascii="楷体_GB2312" w:hAnsi="楷体_GB2312" w:eastAsia="楷体_GB2312" w:cs="楷体_GB2312"/>
          <w:kern w:val="2"/>
          <w:sz w:val="32"/>
          <w:szCs w:val="32"/>
          <w:highlight w:val="none"/>
          <w:lang w:val="en-US" w:eastAsia="zh-CN" w:bidi="ar-SA"/>
        </w:rPr>
        <w:t xml:space="preserve">广西壮族自治区市场监督管理局 </w:t>
      </w:r>
      <w:r>
        <w:rPr>
          <w:rFonts w:hint="eastAsia" w:ascii="方正楷体_GBK" w:hAnsi="方正楷体_GBK" w:eastAsia="方正楷体_GBK" w:cs="方正楷体_GBK"/>
          <w:i w:val="0"/>
          <w:iCs w:val="0"/>
          <w:caps w:val="0"/>
          <w:color w:val="auto"/>
          <w:spacing w:val="0"/>
          <w:kern w:val="0"/>
          <w:sz w:val="32"/>
          <w:szCs w:val="32"/>
          <w:u w:val="none"/>
          <w:shd w:val="clear" w:color="auto" w:fill="FFFFFF"/>
          <w:lang w:val="en-US" w:eastAsia="zh-CN" w:bidi="ar"/>
        </w:rPr>
        <w:t>特种设备    安全监察处四级调研员</w:t>
      </w:r>
    </w:p>
    <w:p w14:paraId="15570E23">
      <w:pPr>
        <w:keepNext w:val="0"/>
        <w:keepLines w:val="0"/>
        <w:pageBreakBefore w:val="0"/>
        <w:widowControl w:val="0"/>
        <w:kinsoku/>
        <w:wordWrap/>
        <w:overflowPunct/>
        <w:topLinePunct w:val="0"/>
        <w:autoSpaceDE/>
        <w:autoSpaceDN/>
        <w:bidi w:val="0"/>
        <w:adjustRightInd/>
        <w:snapToGrid/>
        <w:spacing w:line="560" w:lineRule="exact"/>
        <w:ind w:firstLine="1600" w:firstLineChars="500"/>
        <w:rPr>
          <w:rFonts w:hint="eastAsia" w:ascii="仿宋_GB2312" w:hAnsi="仿宋_GB2312" w:eastAsia="仿宋_GB2312" w:cs="仿宋_GB2312"/>
          <w:i w:val="0"/>
          <w:iCs w:val="0"/>
          <w:caps w:val="0"/>
          <w:color w:val="auto"/>
          <w:spacing w:val="0"/>
          <w:kern w:val="0"/>
          <w:sz w:val="32"/>
          <w:szCs w:val="32"/>
          <w:u w:val="none"/>
          <w:shd w:val="clear" w:color="auto" w:fill="FFFFFF"/>
          <w:lang w:val="en" w:eastAsia="zh-CN" w:bidi="ar"/>
        </w:rPr>
      </w:pPr>
    </w:p>
    <w:p w14:paraId="0304215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一、引言</w:t>
      </w:r>
    </w:p>
    <w:p w14:paraId="4E70317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特种设备安全运行对于保障人民群众生命财产安全、维护社会经济稳定具有重要意义。随着我国经济快速发展，特种设备数量不断增加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截至2024年年底，</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lang w:val="en-US" w:eastAsia="zh-CN"/>
        </w:rPr>
        <w:t>国特种设备总量达2294.18万台，另有气瓶3.18亿只、压力管道117.48万公里。</w:t>
      </w:r>
      <w:r>
        <w:rPr>
          <w:rFonts w:hint="eastAsia" w:ascii="Times New Roman" w:hAnsi="Times New Roman" w:eastAsia="仿宋_GB2312" w:cs="Times New Roman"/>
          <w:sz w:val="32"/>
          <w:szCs w:val="32"/>
          <w:lang w:val="en-US" w:eastAsia="zh-CN"/>
        </w:rPr>
        <w:t>另外，</w:t>
      </w:r>
      <w:r>
        <w:rPr>
          <w:rFonts w:hint="default" w:ascii="Times New Roman" w:hAnsi="Times New Roman" w:eastAsia="仿宋_GB2312" w:cs="Times New Roman"/>
          <w:sz w:val="32"/>
          <w:szCs w:val="32"/>
          <w:lang w:val="en-US" w:eastAsia="zh-CN"/>
        </w:rPr>
        <w:t>特种设备产品不断向高端化、智能化、绿色化方向发展，新材料、新技术、新工艺的应用让传统监管方式面临巨大挑战。在此背景下，利用人工智能、智慧信息化等先进技术，进一步完善特种设备事前事中事后全链条监管体系，构建智慧监管模式成为提升特种设备安全监管效能的关键途径。</w:t>
      </w:r>
    </w:p>
    <w:p w14:paraId="49A75CB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二、特种设备现状及传统安全监管面临的挑战</w:t>
      </w:r>
    </w:p>
    <w:p w14:paraId="2ED2D7C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（一）特种设备数量</w:t>
      </w:r>
      <w:r>
        <w:rPr>
          <w:rFonts w:hint="eastAsia" w:ascii="Times New Roman" w:hAnsi="Times New Roman" w:eastAsia="楷体_GB2312" w:cs="Times New Roman"/>
          <w:sz w:val="32"/>
          <w:szCs w:val="32"/>
          <w:lang w:val="en-US" w:eastAsia="zh-CN"/>
        </w:rPr>
        <w:t>多增速快</w:t>
      </w:r>
    </w:p>
    <w:p w14:paraId="1522D18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我国特种设备数量庞大且种类繁多，涵盖锅炉、压力容器、压力管道、电梯、起重机械、大型游乐设施、客运索道、场（厂）内专用机动车辆等八大类</w:t>
      </w:r>
      <w:r>
        <w:rPr>
          <w:rFonts w:hint="eastAsia" w:ascii="Times New Roman" w:hAnsi="Times New Roman" w:eastAsia="仿宋_GB2312" w:cs="Times New Roman"/>
          <w:sz w:val="32"/>
          <w:szCs w:val="32"/>
          <w:lang w:val="en-US" w:eastAsia="zh-CN"/>
        </w:rPr>
        <w:t>，且以年均8%的速率快速增长</w:t>
      </w:r>
      <w:r>
        <w:rPr>
          <w:rFonts w:hint="default" w:ascii="Times New Roman" w:hAnsi="Times New Roman" w:eastAsia="仿宋_GB2312" w:cs="Times New Roman"/>
          <w:sz w:val="32"/>
          <w:szCs w:val="32"/>
          <w:lang w:val="en-US" w:eastAsia="zh-CN"/>
        </w:rPr>
        <w:t>。以电梯为例，其保有量早已超过1000万台，占特种设备总量比重超50%，成为特种设备安全监管重点关注对象之一。</w:t>
      </w:r>
    </w:p>
    <w:p w14:paraId="59159CE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（二）传统安全监管存在的问题</w:t>
      </w:r>
    </w:p>
    <w:p w14:paraId="556FA9E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sz w:val="32"/>
          <w:szCs w:val="32"/>
          <w:lang w:val="en-US" w:eastAsia="zh-CN"/>
        </w:rPr>
        <w:t>1.人力不足与监管任务繁重的矛盾。</w:t>
      </w:r>
      <w:r>
        <w:rPr>
          <w:rFonts w:hint="default" w:ascii="Times New Roman" w:hAnsi="Times New Roman" w:eastAsia="仿宋_GB2312" w:cs="Times New Roman"/>
          <w:b w:val="0"/>
          <w:bCs w:val="0"/>
          <w:color w:val="auto"/>
          <w:sz w:val="32"/>
          <w:szCs w:val="32"/>
          <w:highlight w:val="none"/>
          <w:lang w:val="en-US" w:eastAsia="zh-CN"/>
        </w:rPr>
        <w:t>一是监管任务多。以广西为例，平均每名市场监管所人员需要服务697.8户经营主体，监管1357只燃气瓶、3.16公里压力管道、61台特种设备，负责92.3户食品、11家药品经营主体。二是繁杂事项多。</w:t>
      </w:r>
      <w:r>
        <w:rPr>
          <w:rFonts w:hint="default" w:ascii="Times New Roman Regular" w:hAnsi="Times New Roman Regular" w:eastAsia="仿宋_GB2312" w:cs="Times New Roman Regular"/>
          <w:b w:val="0"/>
          <w:bCs w:val="0"/>
          <w:color w:val="auto"/>
          <w:sz w:val="32"/>
          <w:szCs w:val="32"/>
          <w:highlight w:val="none"/>
          <w:lang w:val="en-US" w:eastAsia="zh-CN"/>
        </w:rPr>
        <w:t>除承担市场监管主责主业外，</w:t>
      </w:r>
      <w:r>
        <w:rPr>
          <w:rFonts w:hint="default" w:ascii="Times New Roman" w:hAnsi="Times New Roman" w:eastAsia="仿宋_GB2312" w:cs="Times New Roman"/>
          <w:b w:val="0"/>
          <w:bCs w:val="0"/>
          <w:color w:val="auto"/>
          <w:sz w:val="32"/>
          <w:szCs w:val="32"/>
          <w:highlight w:val="none"/>
          <w:lang w:val="en-US" w:eastAsia="zh-CN"/>
        </w:rPr>
        <w:t>基层所还需要额外承担其他部门转来的执法任务，成为“疑难杂症”的口袋部门和“急事难事”的兜底部门，部分地区乡镇工作甚至占基层所工作的80%。三是考核指标多。各级开展质量、食品、特种设备、知识产权等督查考核事项，最终都要基层所具体落实。</w:t>
      </w:r>
    </w:p>
    <w:p w14:paraId="6EB6CAA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sz w:val="32"/>
          <w:szCs w:val="32"/>
          <w:lang w:val="en-US" w:eastAsia="zh-CN"/>
        </w:rPr>
        <w:t>2.信息不对称与滞后性。特种设备生产、使用、检验检测等环节涉及多个主体，信息分散在不同部门与企业系统中，监管人员难以快速、准确获取设备全生命周期信息。</w:t>
      </w:r>
      <w:r>
        <w:rPr>
          <w:rFonts w:hint="default" w:ascii="Times New Roman" w:hAnsi="Times New Roman" w:eastAsia="仿宋_GB2312" w:cs="Times New Roman"/>
          <w:b w:val="0"/>
          <w:bCs w:val="0"/>
          <w:color w:val="auto"/>
          <w:kern w:val="2"/>
          <w:sz w:val="32"/>
          <w:szCs w:val="32"/>
          <w:lang w:val="en-US" w:eastAsia="zh-CN" w:bidi="ar-SA"/>
        </w:rPr>
        <w:t>传统监管模式下，企业自查自纠发现的重大隐患</w:t>
      </w:r>
      <w:r>
        <w:rPr>
          <w:rFonts w:hint="eastAsia" w:ascii="Times New Roman" w:hAnsi="Times New Roman" w:eastAsia="仿宋_GB2312" w:cs="Times New Roman"/>
          <w:b w:val="0"/>
          <w:bCs w:val="0"/>
          <w:color w:val="auto"/>
          <w:kern w:val="2"/>
          <w:sz w:val="32"/>
          <w:szCs w:val="32"/>
          <w:lang w:val="en-US" w:eastAsia="zh-CN" w:bidi="ar-SA"/>
        </w:rPr>
        <w:t>告知至</w:t>
      </w:r>
      <w:r>
        <w:rPr>
          <w:rFonts w:hint="default" w:ascii="Times New Roman" w:hAnsi="Times New Roman" w:eastAsia="仿宋_GB2312" w:cs="Times New Roman"/>
          <w:b w:val="0"/>
          <w:bCs w:val="0"/>
          <w:color w:val="auto"/>
          <w:kern w:val="2"/>
          <w:sz w:val="32"/>
          <w:szCs w:val="32"/>
          <w:lang w:val="en-US" w:eastAsia="zh-CN" w:bidi="ar-SA"/>
        </w:rPr>
        <w:t>监管部门需</w:t>
      </w:r>
      <w:r>
        <w:rPr>
          <w:rFonts w:hint="eastAsia"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天</w:t>
      </w:r>
      <w:r>
        <w:rPr>
          <w:rFonts w:hint="eastAsia" w:ascii="Times New Roman" w:hAnsi="Times New Roman" w:eastAsia="仿宋_GB2312" w:cs="Times New Roman"/>
          <w:b w:val="0"/>
          <w:bCs w:val="0"/>
          <w:color w:val="auto"/>
          <w:kern w:val="2"/>
          <w:sz w:val="32"/>
          <w:szCs w:val="32"/>
          <w:lang w:val="en-US" w:eastAsia="zh-CN" w:bidi="ar-SA"/>
        </w:rPr>
        <w:t>左右</w:t>
      </w:r>
      <w:r>
        <w:rPr>
          <w:rFonts w:hint="default" w:ascii="Times New Roman" w:hAnsi="Times New Roman" w:eastAsia="仿宋_GB2312" w:cs="Times New Roman"/>
          <w:b w:val="0"/>
          <w:bCs w:val="0"/>
          <w:color w:val="auto"/>
          <w:kern w:val="2"/>
          <w:sz w:val="32"/>
          <w:szCs w:val="32"/>
          <w:lang w:val="en-US" w:eastAsia="zh-CN" w:bidi="ar-SA"/>
        </w:rPr>
        <w:t>，检验检测报告流转至监管部门需7-10天，风险研判存在明显滞后。</w:t>
      </w:r>
    </w:p>
    <w:p w14:paraId="78E1EE3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3.风险预警精准度欠缺。传统风险预警主要依据经验与历史事故数据设定通用阈值，缺乏对设备个体差异、实时运行数据以及复杂环境因素的综合考量。</w:t>
      </w:r>
      <w:r>
        <w:rPr>
          <w:rFonts w:hint="default" w:ascii="Times New Roman" w:hAnsi="Times New Roman" w:eastAsia="仿宋_GB2312" w:cs="Times New Roman"/>
          <w:color w:val="auto"/>
          <w:sz w:val="32"/>
          <w:szCs w:val="32"/>
          <w:lang w:val="en-US" w:eastAsia="zh-CN"/>
        </w:rPr>
        <w:t>传统预警系统误报率高达35%，漏报率达18%，导致监管资源浪费与隐患排查不及时问题并存。</w:t>
      </w:r>
    </w:p>
    <w:p w14:paraId="2F8BBC9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4.执法监督效率与效果受限。在执法过程中，传统模式下证据收集、违法判定、处罚执行等环节依赖人工操作，流程繁琐且易受主观因素影响</w:t>
      </w:r>
      <w:r>
        <w:rPr>
          <w:rFonts w:hint="default" w:ascii="Times New Roman" w:hAnsi="Times New Roman" w:eastAsia="仿宋_GB2312" w:cs="Times New Roman"/>
          <w:color w:val="auto"/>
          <w:sz w:val="32"/>
          <w:szCs w:val="32"/>
          <w:lang w:val="en-US" w:eastAsia="zh-CN"/>
        </w:rPr>
        <w:t>。据测算，单次现场执法平均耗时2-3小时，证据整理归档需</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个工作日，执法周期长、效率低，对违法违规行为震慑力不足。</w:t>
      </w:r>
    </w:p>
    <w:p w14:paraId="394D7EC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三、人工智能在特种设备智慧监管中的应用优势</w:t>
      </w:r>
    </w:p>
    <w:p w14:paraId="07DCD88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（一）实现精准监管</w:t>
      </w:r>
    </w:p>
    <w:p w14:paraId="37AFAB9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基于大数据分析的精准检查计划制定。通过收集分析特种设备的生产质量、使用年限、维护保养记录、所在区域风险等级等多维度数据，构建监督检查重点单位名录，运用随机森林、梯度提升树等数据挖掘算法，动态确定重点监管设备清单与检查频次，使监管资源配置效率提升40%以上。</w:t>
      </w:r>
    </w:p>
    <w:p w14:paraId="49855C1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2.智能画像辅助企业分类监管。为特种设备使用单位构建智能画像，综合评估其安全管理能力、</w:t>
      </w:r>
      <w:r>
        <w:rPr>
          <w:rFonts w:hint="default" w:ascii="Times New Roman" w:hAnsi="Times New Roman" w:eastAsia="仿宋_GB2312" w:cs="Times New Roman"/>
          <w:color w:val="auto"/>
          <w:kern w:val="2"/>
          <w:sz w:val="32"/>
          <w:szCs w:val="32"/>
          <w:lang w:val="en-US" w:eastAsia="zh-CN" w:bidi="ar-SA"/>
        </w:rPr>
        <w:t>人员行为、</w:t>
      </w:r>
      <w:r>
        <w:rPr>
          <w:rFonts w:hint="default" w:ascii="Times New Roman" w:hAnsi="Times New Roman" w:eastAsia="仿宋_GB2312" w:cs="Times New Roman"/>
          <w:sz w:val="32"/>
          <w:szCs w:val="32"/>
          <w:lang w:val="en-US" w:eastAsia="zh-CN"/>
        </w:rPr>
        <w:t>设备运行状况、信用记录等核心指标，采用层次分析法与模糊综合评价模型，将企业、特种设备分为A（高风险）、B（中风险）、C（低风险）三级，实施差异化监管策略，实现精准监管，提升监管效能。</w:t>
      </w:r>
    </w:p>
    <w:p w14:paraId="2491E7E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（二）提升风险预警效能</w:t>
      </w:r>
    </w:p>
    <w:p w14:paraId="5810785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1.实时监测数据驱动的风险动态预警。借助物联网传感器实现对特种设备关键运行参数（如电梯运行速度、压力管道应力值等）实时采集与传输，接入智慧监管平台后，利用实时数据流处理技术（如Flink、Spark Streaming）与风险预警模型（如LSTM模型、XGBoost模型），对设备风险进行秒级响应预警。</w:t>
      </w:r>
    </w:p>
    <w:p w14:paraId="17B556F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风险预警结果的联动处置机制。建立智慧监管平台与属地市场监管部门、行业主管部门、应急管理部门、检验机构、使用维保单位等多主体联动处置机制。当风险预警触发时，系统自动向相关主体发送预警信息，并启动相应应急响应流程，如维保单位30分钟内到达现场、检验机构24小时内出具报告。</w:t>
      </w:r>
    </w:p>
    <w:p w14:paraId="25782AF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（三）强化执法监督</w:t>
      </w:r>
    </w:p>
    <w:p w14:paraId="3B8D52E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电子证据链固化与智能审核。利用区块链技术对执法检查过程中获取的图像、视频、文档等证据进行分布式存储与不可篡改记录，形成完整电子证据链，同时借助智能审核系统，基于自然语言处理（NLP）技术对证据合法性、关联性、有效性进行自动审查，审查效率提升60%，人工复核工作量减少70%。</w:t>
      </w:r>
    </w:p>
    <w:p w14:paraId="2A06A1C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2.非现场执法模式创新。依托智慧监管平台远程监控、数据比对等功能，开展非现场执法检查。通过设备赋码、NFC芯片、AI视频分析等技术，对电梯维保检测过程、大型游乐设施、客运索道日常维</w:t>
      </w:r>
      <w:r>
        <w:rPr>
          <w:rFonts w:hint="eastAsia" w:ascii="Times New Roman" w:hAnsi="Times New Roman" w:eastAsia="仿宋_GB2312" w:cs="Times New Roman"/>
          <w:sz w:val="32"/>
          <w:szCs w:val="32"/>
          <w:lang w:val="en-US" w:eastAsia="zh-CN"/>
        </w:rPr>
        <w:t>护</w:t>
      </w:r>
      <w:r>
        <w:rPr>
          <w:rFonts w:hint="default" w:ascii="Times New Roman" w:hAnsi="Times New Roman" w:eastAsia="仿宋_GB2312" w:cs="Times New Roman"/>
          <w:sz w:val="32"/>
          <w:szCs w:val="32"/>
          <w:lang w:val="en-US" w:eastAsia="zh-CN"/>
        </w:rPr>
        <w:t>等进行监控。以电梯为例，非现场执法覆盖范围</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扩大至</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0%以上，现场检查频次减少</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0%，在减少</w:t>
      </w:r>
      <w:r>
        <w:rPr>
          <w:rFonts w:hint="eastAsia" w:ascii="Times New Roman" w:hAnsi="Times New Roman" w:eastAsia="仿宋_GB2312" w:cs="Times New Roman"/>
          <w:sz w:val="32"/>
          <w:szCs w:val="32"/>
          <w:lang w:val="en-US" w:eastAsia="zh-CN"/>
        </w:rPr>
        <w:t>涉企行政检查</w:t>
      </w:r>
      <w:r>
        <w:rPr>
          <w:rFonts w:hint="default" w:ascii="Times New Roman" w:hAnsi="Times New Roman" w:eastAsia="仿宋_GB2312" w:cs="Times New Roman"/>
          <w:sz w:val="32"/>
          <w:szCs w:val="32"/>
          <w:lang w:val="en-US" w:eastAsia="zh-CN"/>
        </w:rPr>
        <w:t>的同时，扩大执法覆盖面。</w:t>
      </w:r>
    </w:p>
    <w:p w14:paraId="6838651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四、人工智能赋能特种设备智慧监管的实践案例</w:t>
      </w:r>
    </w:p>
    <w:p w14:paraId="0D91E19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在国际监管实践中，欧盟建立压力设备AI监测系统，通过部署智能传感器实时采集压力设备运行数据，结合风险评估模型实现设备全生命周期监管，显著降低工业压力设备事故率。日本则在电梯监管中推广物联网预警技术，通过电梯运行数据实时上传与分析，提前预判钢丝绳磨损、控制系统故障等隐患，形成“预防性维护+动态预警”监管模式。对比而言，我国特种设备智慧监管在数据归集规模、多技术融合应用等方面展现出独特优势，如广西</w:t>
      </w:r>
      <w:r>
        <w:rPr>
          <w:rFonts w:hint="eastAsia" w:ascii="Times New Roman" w:hAnsi="Times New Roman" w:eastAsia="仿宋_GB2312" w:cs="Times New Roman"/>
          <w:color w:val="auto"/>
          <w:sz w:val="32"/>
          <w:szCs w:val="32"/>
          <w:lang w:val="en-US" w:eastAsia="zh-CN"/>
        </w:rPr>
        <w:t>特种设备智慧监管平台</w:t>
      </w:r>
      <w:r>
        <w:rPr>
          <w:rFonts w:hint="default" w:ascii="Times New Roman" w:hAnsi="Times New Roman" w:eastAsia="仿宋_GB2312" w:cs="Times New Roman"/>
          <w:color w:val="auto"/>
          <w:sz w:val="32"/>
          <w:szCs w:val="32"/>
          <w:lang w:val="en-US" w:eastAsia="zh-CN"/>
        </w:rPr>
        <w:t>实现跨层级、跨部门数据互通，为构建具有中国特色的智慧监管体系提供实践样本。</w:t>
      </w:r>
    </w:p>
    <w:p w14:paraId="29C0657A">
      <w:pPr>
        <w:pStyle w:val="10"/>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广西</w:t>
      </w:r>
      <w:r>
        <w:rPr>
          <w:rFonts w:hint="default" w:ascii="Times New Roman" w:hAnsi="Times New Roman" w:cs="Times New Roman"/>
          <w:kern w:val="2"/>
          <w:sz w:val="32"/>
          <w:szCs w:val="32"/>
          <w:lang w:val="en-US" w:eastAsia="zh-CN" w:bidi="ar-SA"/>
        </w:rPr>
        <w:t>市场监管部门</w:t>
      </w:r>
      <w:r>
        <w:rPr>
          <w:rFonts w:hint="default" w:ascii="Times New Roman" w:hAnsi="Times New Roman" w:eastAsia="仿宋_GB2312" w:cs="Times New Roman"/>
          <w:kern w:val="2"/>
          <w:sz w:val="32"/>
          <w:szCs w:val="32"/>
          <w:lang w:val="en-US" w:eastAsia="zh-CN" w:bidi="ar-SA"/>
        </w:rPr>
        <w:t>以数字化改革为引领，以</w:t>
      </w:r>
      <w:r>
        <w:rPr>
          <w:rFonts w:hint="eastAsia" w:ascii="Times New Roman" w:cs="Times New Roman"/>
          <w:kern w:val="2"/>
          <w:sz w:val="32"/>
          <w:szCs w:val="32"/>
          <w:lang w:val="en-US" w:eastAsia="zh-CN" w:bidi="ar-SA"/>
        </w:rPr>
        <w:t>人工</w:t>
      </w:r>
      <w:r>
        <w:rPr>
          <w:rFonts w:hint="default" w:ascii="Times New Roman" w:hAnsi="Times New Roman" w:eastAsia="仿宋_GB2312" w:cs="Times New Roman"/>
          <w:kern w:val="2"/>
          <w:sz w:val="32"/>
          <w:szCs w:val="32"/>
          <w:lang w:val="en-US" w:eastAsia="zh-CN" w:bidi="ar-SA"/>
        </w:rPr>
        <w:t>智能监管为导向，</w:t>
      </w:r>
      <w:r>
        <w:rPr>
          <w:rFonts w:hint="default" w:ascii="Times New Roman" w:hAnsi="Times New Roman" w:cs="Times New Roman"/>
          <w:kern w:val="2"/>
          <w:sz w:val="32"/>
          <w:szCs w:val="32"/>
          <w:lang w:val="en-US" w:eastAsia="zh-CN" w:bidi="ar-SA"/>
        </w:rPr>
        <w:t>全新打造“广西特种设备云服务一体化平台”</w:t>
      </w:r>
      <w:r>
        <w:rPr>
          <w:rFonts w:hint="default" w:ascii="Times New Roman" w:hAnsi="Times New Roman" w:eastAsia="仿宋_GB2312" w:cs="Times New Roman"/>
          <w:kern w:val="2"/>
          <w:sz w:val="32"/>
          <w:szCs w:val="32"/>
          <w:lang w:val="en-US" w:eastAsia="zh-CN" w:bidi="ar-SA"/>
        </w:rPr>
        <w:t>，全力推进监管能力现代化。</w:t>
      </w:r>
    </w:p>
    <w:p w14:paraId="5C8BC95A">
      <w:pPr>
        <w:pStyle w:val="10"/>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（一）全量数据精准画像。</w:t>
      </w:r>
      <w:r>
        <w:rPr>
          <w:rFonts w:hint="eastAsia" w:ascii="Times New Roman" w:cs="Times New Roman"/>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数据全量归集。制定特种设备信息数据标准规范，全新打造“数治中心”，构建统一的特种设备库、单位库、人员库，实现数据全量归集、互联互通，综合集成数据3.5亿条。13</w:t>
      </w:r>
      <w:r>
        <w:rPr>
          <w:rFonts w:hint="default" w:ascii="Times New Roman" w:hAnsi="Times New Roman" w:cs="Times New Roman"/>
          <w:kern w:val="2"/>
          <w:sz w:val="32"/>
          <w:szCs w:val="32"/>
          <w:lang w:val="en-US" w:eastAsia="zh-CN" w:bidi="ar-SA"/>
        </w:rPr>
        <w:t>47</w:t>
      </w:r>
      <w:r>
        <w:rPr>
          <w:rFonts w:hint="default" w:ascii="Times New Roman" w:hAnsi="Times New Roman" w:eastAsia="仿宋_GB2312" w:cs="Times New Roman"/>
          <w:kern w:val="2"/>
          <w:sz w:val="32"/>
          <w:szCs w:val="32"/>
          <w:lang w:val="en-US" w:eastAsia="zh-CN" w:bidi="ar-SA"/>
        </w:rPr>
        <w:t>个市场所完成辖区内特种设备数据认领工作，实现底数清、情况明。</w:t>
      </w:r>
      <w:r>
        <w:rPr>
          <w:rFonts w:hint="eastAsia" w:ascii="Times New Roman" w:cs="Times New Roman"/>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数据精准画像。将企业管理、人员操作、使用环境、设备维护等作为安全风险预警模型因子</w:t>
      </w:r>
      <w:r>
        <w:rPr>
          <w:rFonts w:hint="default"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US" w:eastAsia="zh-CN" w:bidi="ar-SA"/>
        </w:rPr>
        <w:t>实现企业、设备精准画像，将4.1万家生产使用单位、41.69万台特种设备进行分级分类，实施差异化精准监管。</w:t>
      </w:r>
    </w:p>
    <w:p w14:paraId="1740B18B">
      <w:pPr>
        <w:pStyle w:val="10"/>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（二）实施智能精准安全监管。</w:t>
      </w:r>
      <w:r>
        <w:rPr>
          <w:rFonts w:hint="eastAsia" w:ascii="仿宋_GB2312" w:hAnsi="仿宋_GB2312" w:eastAsia="仿宋_GB2312" w:cs="仿宋_GB2312"/>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创新“一码统管”监管模式。制定特种设备码，为每台特种设备办理“身份证”，实现41.3万台特种设备赋码，占设备总量99.1%。</w:t>
      </w:r>
      <w:r>
        <w:rPr>
          <w:rFonts w:hint="eastAsia" w:ascii="Times New Roman" w:cs="Times New Roman"/>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全面实施“时时扫码”。开发扫码应用功能，全面推进扫码监管、扫码维保、扫码检测、扫码共治，实现智能精准安全监管。</w:t>
      </w:r>
      <w:r>
        <w:rPr>
          <w:rFonts w:hint="eastAsia" w:ascii="Times New Roman" w:cs="Times New Roman"/>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落实隐患闭环管控。强化风险监测预警，紧盯重大事故隐患，累计发现并处置高风险隐患2.1万</w:t>
      </w:r>
      <w:r>
        <w:rPr>
          <w:rFonts w:hint="eastAsia" w:ascii="Times New Roman" w:cs="Times New Roman"/>
          <w:kern w:val="2"/>
          <w:sz w:val="32"/>
          <w:szCs w:val="32"/>
          <w:lang w:val="en-US" w:eastAsia="zh-CN" w:bidi="ar-SA"/>
        </w:rPr>
        <w:t>个</w:t>
      </w:r>
      <w:r>
        <w:rPr>
          <w:rFonts w:hint="default" w:ascii="Times New Roman" w:hAnsi="Times New Roman" w:eastAsia="仿宋_GB2312" w:cs="Times New Roman"/>
          <w:kern w:val="2"/>
          <w:sz w:val="32"/>
          <w:szCs w:val="32"/>
          <w:lang w:val="en-US" w:eastAsia="zh-CN" w:bidi="ar-SA"/>
        </w:rPr>
        <w:t>，重大事故隐患250个，闭环处置率达100%。</w:t>
      </w:r>
    </w:p>
    <w:p w14:paraId="7A93EEF0">
      <w:pPr>
        <w:pStyle w:val="10"/>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（三）创新非现场检查监管方式。</w:t>
      </w:r>
      <w:r>
        <w:rPr>
          <w:rFonts w:hint="eastAsia" w:ascii="Times New Roman" w:cs="Times New Roman"/>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创新非现场检查。在电梯、大型游乐设施、客运索道应用远程检查、网络巡查等非现场检查方式替代“上门式”检查。线上巡查时间由过去90分钟缩至3分钟，效率提高30倍。</w:t>
      </w:r>
      <w:r>
        <w:rPr>
          <w:rFonts w:hint="eastAsia" w:ascii="Times New Roman" w:cs="Times New Roman"/>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创新电梯监管新模式。开发电梯无纸化维保、自行检测应用场景，利用图像识别及实人认证技术，对身份信息、地理位置、作业照片、签到签退等数据采集和验证。实现对445.9万次电梯无纸化维保、23万台电梯追溯管理。</w:t>
      </w:r>
      <w:r>
        <w:rPr>
          <w:rFonts w:hint="eastAsia" w:ascii="Times New Roman" w:cs="Times New Roman"/>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气瓶“阳光充装”。对接355家充装、检验、制造单位，将1062万只气瓶纳入全过程追溯管理。全天候向社会公示229家充装单位充装站台实时影像，实现“网上查、码上看”。</w:t>
      </w:r>
    </w:p>
    <w:p w14:paraId="4013156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（四）探索人工智能应用场景。</w:t>
      </w:r>
      <w:r>
        <w:rPr>
          <w:rFonts w:hint="eastAsia" w:ascii="Times New Roman" w:hAnsi="Times New Roman" w:eastAsia="仿宋_GB2312" w:cs="Times New Roman"/>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材料智能预审。通过AI技术实现对企业提交的整改材料进行智能校验，减少人工审查，工作效率提高</w:t>
      </w: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创新“对话式监管”。通过语音交互即可自动生成检查记录、监察指令书，自动发送至被检查对象，现场文书制作时间从30分钟缩短至5分钟。</w:t>
      </w:r>
      <w:r>
        <w:rPr>
          <w:rFonts w:hint="eastAsia" w:ascii="Times New Roman" w:hAnsi="Times New Roman" w:eastAsia="仿宋_GB2312" w:cs="Times New Roman"/>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建设智能问答助手。聚合特种设备法律法规、技术规范等1万余条知识，提供对话式搜索、阅读、写作等服务，基层监管人员政策查询效率提升80%。</w:t>
      </w:r>
      <w:r>
        <w:rPr>
          <w:rFonts w:hint="eastAsia" w:ascii="Times New Roman" w:hAnsi="Times New Roman" w:eastAsia="仿宋_GB2312" w:cs="Times New Roman"/>
          <w:kern w:val="2"/>
          <w:sz w:val="32"/>
          <w:szCs w:val="32"/>
          <w:lang w:val="en-US" w:eastAsia="zh-CN" w:bidi="ar-SA"/>
        </w:rPr>
        <w:t>四是</w:t>
      </w:r>
      <w:r>
        <w:rPr>
          <w:rFonts w:hint="default" w:ascii="Times New Roman" w:hAnsi="Times New Roman" w:eastAsia="仿宋_GB2312" w:cs="Times New Roman"/>
          <w:kern w:val="2"/>
          <w:sz w:val="32"/>
          <w:szCs w:val="32"/>
          <w:lang w:val="en-US" w:eastAsia="zh-CN" w:bidi="ar-SA"/>
        </w:rPr>
        <w:t>探索视觉解析功能。开发特种设备缺陷识别模型，快速精准识别与理解图像中细节和视频元素，基层检查由传统经验判断，提升到“拍照识物”、“拍照标风险”、“眼见即答”，缺陷识别准确率达9</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%以上。</w:t>
      </w:r>
    </w:p>
    <w:p w14:paraId="791C74E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五、面临</w:t>
      </w:r>
      <w:r>
        <w:rPr>
          <w:rFonts w:hint="default" w:ascii="Times New Roman" w:hAnsi="Times New Roman" w:eastAsia="黑体" w:cs="Times New Roman"/>
          <w:sz w:val="32"/>
          <w:szCs w:val="32"/>
          <w:lang w:eastAsia="zh-CN"/>
        </w:rPr>
        <w:t>问题</w:t>
      </w:r>
      <w:r>
        <w:rPr>
          <w:rFonts w:hint="default" w:ascii="Times New Roman" w:hAnsi="Times New Roman" w:eastAsia="黑体" w:cs="Times New Roman"/>
          <w:sz w:val="32"/>
          <w:szCs w:val="32"/>
        </w:rPr>
        <w:t>挑战的对策建议</w:t>
      </w:r>
    </w:p>
    <w:p w14:paraId="3855A76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（一）数据安全与隐私保护问题</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智慧监管涉及大量特种设备生产、使用企业敏感信息以及个人用户隐私数据，数据在采集、传输、存储与使用过程中面临被泄露、篡改、滥用等风险。</w:t>
      </w:r>
    </w:p>
    <w:p w14:paraId="53B845B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对策建议：</w:t>
      </w:r>
      <w:r>
        <w:rPr>
          <w:rFonts w:hint="default" w:ascii="Times New Roman" w:hAnsi="Times New Roman" w:eastAsia="仿宋_GB2312" w:cs="Times New Roman"/>
          <w:sz w:val="32"/>
          <w:szCs w:val="32"/>
          <w:lang w:val="en-US" w:eastAsia="zh-CN"/>
        </w:rPr>
        <w:t>一是建立健全数据安全管理制度与规范，参照《数据安全法》《个人信息保护法》，明确数据所有者、使用者、管理者等各方权利与义务，严格数据访问权限控制与审批流程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二是采用先进数据加密技术，对存储与传输中敏感数据进行国密算法加密处理，确保各个环节数据安全性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三是加强数据安全监测与应急处置能力建设，定期开展数据风险评估与漏洞扫描，制定完善应急预案，建立应急响应小组，及时应对数据安全突发事件。</w:t>
      </w:r>
    </w:p>
    <w:p w14:paraId="10CD1E4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（二）技术标准与规范不完善</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目前智慧监管领域尚缺乏统一的技术标准与数据规范，不同地区、不同监管部门建设的智慧监管平台之间存在数据格式不一致、接口不兼容、功能差异大等问题，导致数据难以共享互通，系统集成困难。</w:t>
      </w:r>
    </w:p>
    <w:p w14:paraId="620EC94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对策建议：</w:t>
      </w:r>
      <w:r>
        <w:rPr>
          <w:rFonts w:hint="eastAsia" w:ascii="Times New Roman" w:hAnsi="Times New Roman" w:eastAsia="仿宋_GB2312" w:cs="Times New Roman"/>
          <w:b w:val="0"/>
          <w:bCs w:val="0"/>
          <w:sz w:val="32"/>
          <w:szCs w:val="32"/>
          <w:lang w:val="en-US" w:eastAsia="zh-CN"/>
        </w:rPr>
        <w:t>一是</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基于人工智能下的智慧监管技术标准体系与数据规范</w:t>
      </w:r>
      <w:r>
        <w:rPr>
          <w:rFonts w:hint="eastAsia" w:ascii="Times New Roman" w:hAnsi="Times New Roman" w:eastAsia="仿宋_GB2312" w:cs="Times New Roman"/>
          <w:sz w:val="32"/>
          <w:szCs w:val="32"/>
          <w:lang w:val="en-US" w:eastAsia="zh-CN"/>
        </w:rPr>
        <w:t>纳入“十五五”</w:t>
      </w:r>
      <w:r>
        <w:rPr>
          <w:rFonts w:hint="default" w:ascii="Times New Roman" w:hAnsi="Times New Roman" w:eastAsia="仿宋_GB2312" w:cs="Times New Roman"/>
          <w:sz w:val="32"/>
          <w:szCs w:val="32"/>
          <w:lang w:val="en-US" w:eastAsia="zh-CN"/>
        </w:rPr>
        <w:t>市场监管现代化规划</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加快制定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明确数据采集、传输、存储、处理、共享等各环节技术要求与格式标准，推动全国特种设备智慧监管平台一体化建设与互联互通。</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是针对人工智能算法应用，组织开展算法性能评估指标体系研究，建立算法安全、可靠、可解释性的测试与认证机制，确保算法在安全监管中科学合理应用，推动形成“技术标准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测试认证-应用推广”良性循环。</w:t>
      </w:r>
    </w:p>
    <w:p w14:paraId="6491C33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（三）人员技术能力与观念转变滞后</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val="en-US" w:eastAsia="zh-CN"/>
        </w:rPr>
        <w:t>智慧监管的实施需要监管人员具备一定信息技术素养与数据分析能力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然而当前基层监管人员普遍以传统监管业务出身为主，计算机、信息技术等专业背景人员匮乏，在面对复杂的智慧监管平台操作、数据分析解读等工作时存在较大困难。</w:t>
      </w:r>
    </w:p>
    <w:p w14:paraId="2E4FA04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对策建议：</w:t>
      </w:r>
      <w:r>
        <w:rPr>
          <w:rFonts w:hint="default" w:ascii="Times New Roman" w:hAnsi="Times New Roman" w:eastAsia="仿宋_GB2312" w:cs="Times New Roman"/>
          <w:sz w:val="32"/>
          <w:szCs w:val="32"/>
          <w:lang w:val="en-US" w:eastAsia="zh-CN"/>
        </w:rPr>
        <w:t>一是制定人员培训计划，分层次、分阶段开展信息技术基础知识、数据分析方法等方面培训课程。采用“线上学习+线下实操”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案</w:t>
      </w:r>
      <w:r>
        <w:rPr>
          <w:rFonts w:hint="default" w:ascii="Times New Roman" w:hAnsi="Times New Roman" w:eastAsia="仿宋_GB2312" w:cs="Times New Roman"/>
          <w:sz w:val="32"/>
          <w:szCs w:val="32"/>
          <w:lang w:val="en-US" w:eastAsia="zh-CN"/>
        </w:rPr>
        <w:t>例教学+实地演练”相结合方式，提升监管人员技术应用能力。二是加强宣传推广力度，通过组织现场观摩会、经验交流会、发布智慧监管成功案例集等方式，向监管人员与企业用户展示智慧监管优势与成效，转变其观念认知，提高对智慧监管工作接受度与参与度。邀请典型企业分享应用经验，形成“监管推动+企业参与”良好氛围。</w:t>
      </w:r>
    </w:p>
    <w:p w14:paraId="32C541A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（四）人工智能模型泛化与算力偏弱。</w:t>
      </w:r>
      <w:r>
        <w:rPr>
          <w:rFonts w:hint="default" w:ascii="Times New Roman" w:hAnsi="Times New Roman" w:eastAsia="仿宋_GB2312" w:cs="Times New Roman"/>
          <w:sz w:val="32"/>
          <w:szCs w:val="32"/>
          <w:lang w:val="en-US" w:eastAsia="zh-CN"/>
        </w:rPr>
        <w:t>基于特种设备安全监管的人工智能应用场景偏少，且由于数据量小、模型参数少导致应用场景泛化能力弱。另外，特种设备行业存在人工智能算力不足，设备智能化水平不高，运维成本高等问题。</w:t>
      </w:r>
    </w:p>
    <w:p w14:paraId="1408691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对策建议：</w:t>
      </w:r>
      <w:r>
        <w:rPr>
          <w:rFonts w:hint="default" w:ascii="Times New Roman" w:hAnsi="Times New Roman" w:eastAsia="仿宋_GB2312" w:cs="Times New Roman"/>
          <w:sz w:val="32"/>
          <w:szCs w:val="32"/>
          <w:lang w:val="en-US" w:eastAsia="zh-CN"/>
        </w:rPr>
        <w:t>一是促进人工智能与安全监管深度融合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面深化推进多模态学习、语音视觉、数据孪生等先进人工智能技术在特种设备全生命周期中的应用。加强、完善风险隐患识别预警、自动出具报告、智能审批、行业专家系统等场景基础AI能力建设。二是建设高性能计算平台。组织行业优势企业与阿里云、腾讯云等云计算服务中心签订战略合作协议，建立特种设备安全监察高水平性能计算平台，采用“边缘计算+云端协同”架构，在设备端部署轻量化AI模型进行实时数据预处理，云端进行深度模型训练，降低AI算力搭建和运维成本。</w:t>
      </w:r>
    </w:p>
    <w:p w14:paraId="71165DE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六、结论</w:t>
      </w:r>
      <w:r>
        <w:rPr>
          <w:rFonts w:hint="eastAsia" w:ascii="Times New Roman" w:hAnsi="Times New Roman" w:eastAsia="黑体" w:cs="Times New Roman"/>
          <w:sz w:val="32"/>
          <w:szCs w:val="32"/>
          <w:lang w:eastAsia="zh-CN"/>
        </w:rPr>
        <w:t>与展望</w:t>
      </w:r>
    </w:p>
    <w:p w14:paraId="1F71E62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人工智能赋能的智慧监管模式能够有效应对特种设备风险挑战，提升安全监管效能。在精准监管方面，通过大数据分析和智能画像技术，能够准确识别高风险设备和企业，合理配置资源，提高监管针对性和有效性。在风险预警方面，借助物联网传感器实时采集设备运行数据，结合人工智能算法进行动态风险预警，提前发现潜在安全隐患，采取相应预防措施，降低事故发生率。在执法监督方面，电子证据链和非现场执法模式应用，提高执法效率，降低执法成本，增强执法公正性和透明度。广西实践表明，该模式使重大事故隐患闭环处置率达100%，事故率下降65%，监管效率提升30倍以上，展现出显著经济效益与社会效益。</w:t>
      </w:r>
    </w:p>
    <w:p w14:paraId="2CED34D8">
      <w:r>
        <w:rPr>
          <w:rFonts w:hint="default" w:ascii="Times New Roman" w:hAnsi="Times New Roman" w:eastAsia="仿宋_GB2312" w:cs="Times New Roman"/>
          <w:sz w:val="32"/>
          <w:szCs w:val="32"/>
          <w:lang w:eastAsia="zh-CN"/>
        </w:rPr>
        <w:t>未来，随着人工智能技术不断发展和创新，其在特种设备安全监管中应用前景将更加广阔。同时，也需要加强相关法律法规和政策的制定与完善，为人工智能在安全监管中的应用提供良好政策环境和法律保障。建议将智慧监管纳入特种设备安全立法修订内容，明确AI监管数据法律效力、各主体权责边界，推动形成“技术创新-政策支撑-实践应用”良性互动格局，为保障特种设备安全运行、推动高质量发展奠定坚实基础。</w:t>
      </w:r>
    </w:p>
    <w:p w14:paraId="41965A45">
      <w:pPr>
        <w:pageBreakBefore w:val="0"/>
        <w:widowControl w:val="0"/>
        <w:kinsoku/>
        <w:overflowPunct/>
        <w:topLinePunct w:val="0"/>
        <w:bidi w:val="0"/>
        <w:spacing w:after="0" w:line="560" w:lineRule="exact"/>
        <w:ind w:firstLine="0" w:firstLineChars="0"/>
        <w:contextualSpacing/>
        <w:jc w:val="center"/>
        <w:rPr>
          <w:rFonts w:hint="eastAsia" w:ascii="Times New Roman" w:hAnsi="Times New Roman" w:eastAsia="方正小标宋简体" w:cs="Times New Roman"/>
          <w:color w:val="000000"/>
          <w:kern w:val="28"/>
          <w:sz w:val="40"/>
          <w:szCs w:val="52"/>
          <w:lang w:val="en-US" w:eastAsia="zh-CN" w:bidi="ar-SA"/>
        </w:rPr>
      </w:pPr>
      <w:bookmarkStart w:id="9" w:name="_GoBack"/>
      <w:bookmarkEnd w:id="9"/>
    </w:p>
    <w:p w14:paraId="130C7128">
      <w:pPr>
        <w:pageBreakBefore w:val="0"/>
        <w:widowControl w:val="0"/>
        <w:kinsoku/>
        <w:overflowPunct/>
        <w:topLinePunct w:val="0"/>
        <w:bidi w:val="0"/>
        <w:spacing w:after="0" w:line="560" w:lineRule="exact"/>
        <w:ind w:firstLine="0" w:firstLineChars="0"/>
        <w:contextualSpacing/>
        <w:jc w:val="center"/>
        <w:rPr>
          <w:rFonts w:hint="eastAsia" w:ascii="Times New Roman" w:hAnsi="Times New Roman" w:eastAsia="方正小标宋简体" w:cs="Times New Roman"/>
          <w:color w:val="000000"/>
          <w:kern w:val="28"/>
          <w:sz w:val="40"/>
          <w:szCs w:val="52"/>
          <w:lang w:val="en-US" w:eastAsia="zh-CN" w:bidi="ar-SA"/>
        </w:rPr>
      </w:pPr>
    </w:p>
    <w:p w14:paraId="30DD045C">
      <w:pPr>
        <w:pageBreakBefore w:val="0"/>
        <w:widowControl w:val="0"/>
        <w:kinsoku/>
        <w:overflowPunct/>
        <w:topLinePunct w:val="0"/>
        <w:bidi w:val="0"/>
        <w:spacing w:after="0" w:line="560" w:lineRule="exact"/>
        <w:ind w:firstLine="0" w:firstLineChars="0"/>
        <w:contextualSpacing/>
        <w:jc w:val="center"/>
        <w:rPr>
          <w:rFonts w:ascii="Times New Roman" w:hAnsi="Times New Roman" w:eastAsia="方正小标宋简体" w:cs="Times New Roman"/>
          <w:color w:val="000000"/>
          <w:kern w:val="28"/>
          <w:sz w:val="40"/>
          <w:szCs w:val="52"/>
          <w:lang w:val="en-US" w:eastAsia="zh-CN" w:bidi="ar-SA"/>
        </w:rPr>
      </w:pPr>
      <w:r>
        <w:rPr>
          <w:rFonts w:hint="eastAsia" w:ascii="Times New Roman" w:hAnsi="Times New Roman" w:eastAsia="方正小标宋简体" w:cs="Times New Roman"/>
          <w:color w:val="000000"/>
          <w:kern w:val="28"/>
          <w:sz w:val="40"/>
          <w:szCs w:val="52"/>
          <w:lang w:val="en-US" w:eastAsia="zh-CN" w:bidi="ar-SA"/>
        </w:rPr>
        <w:t>加快推进中国—东盟人工智能标准合作对策研究</w:t>
      </w:r>
    </w:p>
    <w:p w14:paraId="634F6C27">
      <w:pPr>
        <w:pageBreakBefore w:val="0"/>
        <w:kinsoku/>
        <w:overflowPunct/>
        <w:topLinePunct w:val="0"/>
        <w:bidi w:val="0"/>
        <w:spacing w:after="0" w:line="560" w:lineRule="exact"/>
        <w:ind w:firstLine="0" w:firstLineChars="0"/>
        <w:contextualSpacing/>
        <w:jc w:val="center"/>
        <w:rPr>
          <w:rFonts w:hint="eastAsia" w:ascii="Times New Roman" w:hAnsi="Times New Roman" w:eastAsia="仿宋"/>
          <w:color w:val="000000"/>
          <w:sz w:val="28"/>
          <w:szCs w:val="21"/>
        </w:rPr>
      </w:pPr>
    </w:p>
    <w:p w14:paraId="7610ACFD">
      <w:pPr>
        <w:pageBreakBefore w:val="0"/>
        <w:kinsoku/>
        <w:overflowPunct/>
        <w:topLinePunct w:val="0"/>
        <w:bidi w:val="0"/>
        <w:spacing w:after="0" w:line="560" w:lineRule="exact"/>
        <w:ind w:firstLine="0" w:firstLineChars="0"/>
        <w:contextualSpacing/>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作者：</w:t>
      </w:r>
      <w:r>
        <w:rPr>
          <w:rFonts w:hint="eastAsia" w:ascii="方正楷体_GBK" w:hAnsi="方正楷体_GBK" w:eastAsia="方正楷体_GBK" w:cs="方正楷体_GBK"/>
          <w:color w:val="000000"/>
          <w:sz w:val="32"/>
          <w:szCs w:val="32"/>
        </w:rPr>
        <w:t>宋</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rPr>
        <w:t>洋</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rPr>
        <w:t>广西壮族自治区市场监督管理局</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rPr>
        <w:t>标准化处</w:t>
      </w:r>
      <w:r>
        <w:rPr>
          <w:rFonts w:hint="eastAsia" w:ascii="方正楷体_GBK" w:hAnsi="方正楷体_GBK" w:eastAsia="方正楷体_GBK" w:cs="方正楷体_GBK"/>
          <w:color w:val="000000"/>
          <w:sz w:val="32"/>
          <w:szCs w:val="32"/>
          <w:lang w:val="en-US" w:eastAsia="zh-CN"/>
        </w:rPr>
        <w:t>副处长</w:t>
      </w:r>
    </w:p>
    <w:p w14:paraId="14B9181A">
      <w:pPr>
        <w:pageBreakBefore w:val="0"/>
        <w:kinsoku/>
        <w:overflowPunct/>
        <w:topLinePunct w:val="0"/>
        <w:bidi w:val="0"/>
        <w:spacing w:after="0" w:line="560" w:lineRule="exact"/>
        <w:ind w:firstLine="0" w:firstLineChars="0"/>
        <w:contextualSpacing/>
        <w:jc w:val="center"/>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柯洪刚</w:t>
      </w:r>
      <w:r>
        <w:rPr>
          <w:rFonts w:hint="eastAsia" w:ascii="方正楷体_GBK" w:hAnsi="方正楷体_GBK" w:eastAsia="方正楷体_GBK" w:cs="方正楷体_GBK"/>
          <w:color w:val="000000"/>
          <w:sz w:val="32"/>
          <w:szCs w:val="32"/>
          <w:lang w:val="en-US" w:eastAsia="zh-CN"/>
        </w:rPr>
        <w:t xml:space="preserve"> 广西壮族自治区市场监督管理局 标准化处副处长</w:t>
      </w:r>
    </w:p>
    <w:p w14:paraId="0E68E5D6">
      <w:pPr>
        <w:pageBreakBefore w:val="0"/>
        <w:kinsoku/>
        <w:overflowPunct/>
        <w:topLinePunct w:val="0"/>
        <w:bidi w:val="0"/>
        <w:spacing w:after="0" w:line="560" w:lineRule="exact"/>
        <w:ind w:firstLine="0" w:firstLineChars="0"/>
        <w:contextualSpacing/>
        <w:jc w:val="center"/>
        <w:rPr>
          <w:rFonts w:hint="eastAsia" w:ascii="方正楷体_GBK" w:hAnsi="方正楷体_GBK" w:eastAsia="方正楷体_GBK" w:cs="方正楷体_GBK"/>
          <w:color w:val="000000"/>
          <w:spacing w:val="-11"/>
          <w:sz w:val="32"/>
          <w:szCs w:val="32"/>
        </w:rPr>
      </w:pPr>
      <w:r>
        <w:rPr>
          <w:rFonts w:hint="eastAsia" w:ascii="方正楷体_GBK" w:hAnsi="方正楷体_GBK" w:eastAsia="方正楷体_GBK" w:cs="方正楷体_GBK"/>
          <w:color w:val="000000"/>
          <w:sz w:val="32"/>
          <w:szCs w:val="32"/>
          <w:lang w:val="en-US" w:eastAsia="zh-CN"/>
        </w:rPr>
        <w:t xml:space="preserve">     黄月锋 </w:t>
      </w:r>
      <w:r>
        <w:rPr>
          <w:rFonts w:hint="eastAsia" w:ascii="方正楷体_GBK" w:hAnsi="方正楷体_GBK" w:eastAsia="方正楷体_GBK" w:cs="方正楷体_GBK"/>
          <w:color w:val="000000"/>
          <w:spacing w:val="-6"/>
          <w:sz w:val="32"/>
          <w:szCs w:val="32"/>
        </w:rPr>
        <w:t>广西壮族自治区市场监督管理局</w:t>
      </w:r>
      <w:r>
        <w:rPr>
          <w:rFonts w:hint="eastAsia" w:ascii="方正楷体_GBK" w:hAnsi="方正楷体_GBK" w:eastAsia="方正楷体_GBK" w:cs="方正楷体_GBK"/>
          <w:color w:val="000000"/>
          <w:spacing w:val="-6"/>
          <w:sz w:val="32"/>
          <w:szCs w:val="32"/>
          <w:lang w:val="en-US" w:eastAsia="zh-CN"/>
        </w:rPr>
        <w:t xml:space="preserve"> </w:t>
      </w:r>
      <w:r>
        <w:rPr>
          <w:rFonts w:hint="eastAsia" w:ascii="方正楷体_GBK" w:hAnsi="方正楷体_GBK" w:eastAsia="方正楷体_GBK" w:cs="方正楷体_GBK"/>
          <w:color w:val="000000"/>
          <w:spacing w:val="-6"/>
          <w:sz w:val="32"/>
          <w:szCs w:val="32"/>
        </w:rPr>
        <w:t>标准化处</w:t>
      </w:r>
      <w:r>
        <w:rPr>
          <w:rFonts w:hint="eastAsia" w:ascii="方正楷体_GBK" w:hAnsi="方正楷体_GBK" w:eastAsia="方正楷体_GBK" w:cs="方正楷体_GBK"/>
          <w:color w:val="000000"/>
          <w:spacing w:val="-6"/>
          <w:sz w:val="32"/>
          <w:szCs w:val="32"/>
          <w:lang w:eastAsia="zh-CN"/>
        </w:rPr>
        <w:t>工作人员</w:t>
      </w:r>
    </w:p>
    <w:p w14:paraId="0B17EEBE">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p>
    <w:p w14:paraId="180F96C1">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习近平总书记指出：“人工智能是引领这一轮科技革命和产业变革的战略性技术，具有溢出带动性很强的‘头雁’效应。”人工智能（AI）作为国际竞争的新焦点和经济发展的新引擎，是发展新质生产力的重要驱动力量。标准是引领人工智能产业创新发展的重要支撑，人工智能标准化是中国—东盟互利合作的重要内容。在我国与东盟已连续多年互为最大贸易伙伴的背景下，发挥我国人工智能技术和标准化优势，加快推进面向东盟的标准制度型开放合作，对引领产业升级和更多场景应用，激发产生更多自主创新成果，加速形成具有全球竞争力的人工智能开放创新生态，深化中国—东盟数字经济领域合作，输出人工智能“中国方案”，提升我国在该领域的国际话语权和影响力，参与全球竞争和治理具有重要意义。</w:t>
      </w:r>
    </w:p>
    <w:p w14:paraId="5CF821DA">
      <w:pPr>
        <w:pageBreakBefore w:val="0"/>
        <w:kinsoku/>
        <w:overflowPunct/>
        <w:topLinePunct w:val="0"/>
        <w:bidi w:val="0"/>
        <w:spacing w:after="0" w:line="560" w:lineRule="exact"/>
        <w:ind w:firstLine="640" w:firstLineChars="200"/>
        <w:contextualSpacing/>
        <w:rPr>
          <w:rFonts w:hint="eastAsia" w:ascii="黑体" w:hAnsi="黑体" w:eastAsia="黑体"/>
          <w:color w:val="000000"/>
          <w:sz w:val="32"/>
          <w:szCs w:val="22"/>
        </w:rPr>
      </w:pPr>
      <w:r>
        <w:rPr>
          <w:rFonts w:hint="eastAsia" w:ascii="黑体" w:hAnsi="黑体" w:eastAsia="黑体"/>
          <w:color w:val="000000"/>
          <w:sz w:val="32"/>
          <w:szCs w:val="22"/>
        </w:rPr>
        <w:t>一、人工智能标准化的现状</w:t>
      </w:r>
    </w:p>
    <w:p w14:paraId="6B713D19">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在全球数字经济快速发展的背景下，人工智能已成为国际竞争的新焦点和新手段，人工智能标准化在全球范围内正处于快速发展阶段。从基础共性到关键技术，从智能产品到智慧服务，标准化正全方位推动和保障人工智能的健康发展。</w:t>
      </w:r>
    </w:p>
    <w:p w14:paraId="09700819">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（一）国外方面</w:t>
      </w:r>
    </w:p>
    <w:p w14:paraId="34CF741B">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国际标准化组织（ISO）和国际电工委员会（IEC）已成立联合技术委员会（JTC1/SC42），专门负责人工智能标准化工作，已发布ISO/IEC 23053（机器学习）、ISO/IEC 24029（AI系统稳健性）等核心标准。美国、欧盟等发达国家和地区也纷纷出台人工智能相关文件，试图主导全球标准制定。欧盟发布《人工智能伦理指南》《人工智能法案》等文件；美国通过国家标准与技术研究院成立美国人工智能安全研究所，主导AI标准框架建设，制定人工智能模型的安全、安保及测试等标准，确保美国成为创新、安全和负责任的人工智能全球领导者；日本重点推进机器人、自动驾驶等领域标准。</w:t>
      </w:r>
    </w:p>
    <w:p w14:paraId="4CC1BFAA">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东盟十国人工智能及其标准化发展呈现梯度分布特点。新加坡作为区域领头羊，在智慧城市、金融科技等领域领先，先后发布《人工智能模型治理模式框架》《国家人工智能战略2.0》《生成式人工智能治理模型框架》等人工智能治理体系文件；马来西亚、泰国重点发展智能制造、数字医疗等；越南、印度尼西亚在农业人工智能应用方面取得突破；柬埔寨、老挝、缅甸等处于起步阶段。新加坡《国家人工智能战略2.0》旨在提升新加坡的经济和社会发展潜力，实现把AI运用于人民健康和气候变化等全球重要领域，让人民与企业具备相应的能力和资源自信使用人工智能，并在未来发挥所长的目标。该战略包括“活动推手”“人与社区”以及“基础设施与环境”三大系统和驱动这些系统的10个抓手和使系统发生作用的15项具体行动组成。</w:t>
      </w:r>
    </w:p>
    <w:p w14:paraId="02DDA460">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（三）国内方面</w:t>
      </w:r>
    </w:p>
    <w:p w14:paraId="15BA33ED">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我国人工智能标准化工作取得显著进展，已基本形成较完善的人工智能标准体系。国务院印发《新一代人工智能发展规划的通知》（国发〔2017〕35号），中央网信办发布《全球人工智能治理倡议》，工信部等四部门印发《国家人工智能产业综合标准化体系建设指南（2024版）》，全国信息技术标准化技术委员会（TC28）发布《人工智能标准化白皮书（2021版）》，并已发布国家标准50多项。上海、杭州、广州、深圳等全国众多城市，在人工智能产业布局、规模、技术、应用、政策等方面出台系列支持措施，如作为全国“人工智能第一城”的上海颁布《促进人工智能产业发展条例》</w:t>
      </w:r>
      <w:r>
        <w:rPr>
          <w:rFonts w:ascii="Times New Roman" w:hAnsi="Times New Roman" w:eastAsia="仿宋"/>
          <w:color w:val="000000"/>
          <w:sz w:val="32"/>
          <w:szCs w:val="22"/>
        </w:rPr>
        <w:t>《关于推进本市新一代人工智能标准体系建设的指导意见》</w:t>
      </w:r>
      <w:r>
        <w:rPr>
          <w:rFonts w:hint="eastAsia" w:ascii="Times New Roman" w:hAnsi="Times New Roman" w:eastAsia="仿宋"/>
          <w:color w:val="000000"/>
          <w:sz w:val="32"/>
          <w:szCs w:val="22"/>
        </w:rPr>
        <w:t>。广西发挥面向东盟的独特区位优势，加快建设中国—东盟人工智能创新合作中心，打造面向东盟的人工智能产业高地、全球人工智能包容普惠发展的平台，与东盟国家携手步入人工智能时代，助力东盟国家打造人工智能发展体系。</w:t>
      </w:r>
    </w:p>
    <w:p w14:paraId="0A48ABE8">
      <w:pPr>
        <w:pageBreakBefore w:val="0"/>
        <w:kinsoku/>
        <w:overflowPunct/>
        <w:topLinePunct w:val="0"/>
        <w:bidi w:val="0"/>
        <w:spacing w:after="0" w:line="560" w:lineRule="exact"/>
        <w:ind w:firstLine="640" w:firstLineChars="200"/>
        <w:contextualSpacing/>
        <w:rPr>
          <w:rFonts w:hint="eastAsia" w:ascii="黑体" w:hAnsi="黑体" w:eastAsia="黑体"/>
          <w:color w:val="000000"/>
          <w:sz w:val="32"/>
          <w:szCs w:val="22"/>
        </w:rPr>
      </w:pPr>
      <w:r>
        <w:rPr>
          <w:rFonts w:hint="eastAsia" w:ascii="黑体" w:hAnsi="黑体" w:eastAsia="黑体"/>
          <w:color w:val="000000"/>
          <w:sz w:val="32"/>
          <w:szCs w:val="22"/>
        </w:rPr>
        <w:t>二、中国—东盟人工智能标准合作机遇</w:t>
      </w:r>
    </w:p>
    <w:p w14:paraId="20D4CCC8">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我国人工智能在政策支持、技术创新、产业发展和场景应用等多方面具有明显优势，东盟十国在人工智能及其标准化发展方面相对较慢，虽面向东盟开展人工智能推广有成本投入、合规性等难题，但由于技术快速迭代与全球应用的复杂性、应用场景的多样性，加快人工智能标准化联通极易成为合作共识。面向东盟的人工智能标准化合作已具备对外应用推广价值，符合互利共赢的产业发展需求，双方合作前景广阔。</w:t>
      </w:r>
    </w:p>
    <w:p w14:paraId="5C5DEF7C">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（一）我国人工智能产业优势明显</w:t>
      </w:r>
    </w:p>
    <w:p w14:paraId="2432D1C9">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我国高度重视和支持人工智能产业发展，已设立600亿元AI发展基金，强化算力、数据等基础能力。市场监管总局（国家标准委）将以政策举措、标准体系和制度型开放为主要内容，构建“三位一体”的标准化推进体系。在《国家人工智能产业综合标准化体系建设指南（2024版）》中明确坚持开放合作原则，深化国际标准化交流与合作。人工智能标准体系结构包括基础共性、基础支撑、关键技术、智能产品与服务、赋能新型工业化、行业应用、安全/治理等7个部分，并提出到2026年新增50项以上国家标准和行业标准。2024年我国提出AI相关国际标准提案128项，涉及无人机、区块链等技术。我国人工智能在智慧城市、企业智能管理、智能制造、智能网联汽车、智慧医疗、智慧农业等众多应用场景中增速显著。</w:t>
      </w:r>
    </w:p>
    <w:p w14:paraId="7DDE9AB9">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但同时也应看到，与欧美相比，我国在伦理规范等领域国际标准制定中的话语权以及我国人工智能产业标准的区域和国际影响力方面仍有较大提升空间，人工智能产业高水平的“走出去”并形成核心竞争力还有较长路要走。</w:t>
      </w:r>
    </w:p>
    <w:p w14:paraId="55200C23">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（二）东盟十国需要人工智能及标准化</w:t>
      </w:r>
    </w:p>
    <w:p w14:paraId="73C91C16">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如前所述，东盟十国在人工智能领域存在整体发展不均衡、人工智能标准缺失、标准体系不完善、应用场景较少等问题。除新加坡外，多数国家尚未建立专门的人工智能标准化机构，目前人工智能主要采用国际标准或区域性标准。在新能源汽车领域，泰国、印尼等正在制定本土化标准；现代种植业方面，越南、马来西亚推动农业无人机标准；在中医药数字化领域，缺乏统一标准。2024年马来西亚成立国家人工智能办公室（NAIO），是马来西亚推进国家人工智能议程的中央机构，旨在推动马来西亚成为引领人工智能技术以及数字化转型发展的区域中心。</w:t>
      </w:r>
    </w:p>
    <w:p w14:paraId="1E3B2623">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随着全球贸易格局演变，人工智能等数字经济的广泛发展，人工智能将成为新经济发展的战略技术支撑，东盟各国不会缺席。东盟继制定发布2016—2020年《信息通信技术总体规划》后，又升级推出《东盟数字总体规划2025》，旨在通过数字技术驱动区域一体化，建设“领先的数字社区和经济体”，实现数字服务覆盖医疗、教育、政务等领域，促进中小微企业数字化转型，推动跨境数字贸易便利化。</w:t>
      </w:r>
    </w:p>
    <w:p w14:paraId="4C5A60D9">
      <w:pPr>
        <w:pageBreakBefore w:val="0"/>
        <w:kinsoku/>
        <w:overflowPunct/>
        <w:topLinePunct w:val="0"/>
        <w:bidi w:val="0"/>
        <w:spacing w:after="0" w:line="560" w:lineRule="exact"/>
        <w:ind w:firstLine="640" w:firstLineChars="200"/>
        <w:contextualSpacing/>
        <w:rPr>
          <w:rFonts w:hint="eastAsia" w:ascii="黑体" w:hAnsi="黑体" w:eastAsia="黑体"/>
          <w:color w:val="000000"/>
          <w:sz w:val="32"/>
          <w:szCs w:val="22"/>
        </w:rPr>
      </w:pPr>
      <w:r>
        <w:rPr>
          <w:rFonts w:hint="eastAsia" w:ascii="黑体" w:hAnsi="黑体" w:eastAsia="黑体"/>
          <w:color w:val="000000"/>
          <w:sz w:val="32"/>
          <w:szCs w:val="22"/>
        </w:rPr>
        <w:t>三、培育中国—东盟人工智能标准新优势的路径</w:t>
      </w:r>
    </w:p>
    <w:p w14:paraId="38ACDB0B">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培育人工智能标准新优势的路径包括加快完善人工智能标准、加强技术创新与标准协调和强化产学研用协调等“一标准二协同”，积极构建“北上广研发+广西集成+东盟应用”人工智能发展路径，加快建设中国—东盟人工智能创新合作中心。</w:t>
      </w:r>
    </w:p>
    <w:p w14:paraId="26150236">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（一）加快完善人工智能标准</w:t>
      </w:r>
    </w:p>
    <w:p w14:paraId="3FBD4CE9">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在《国家人工智能产业综合标准化体系建设指南（2024版）》基础上，加快基础共性、关键技术、产品服务、行业应用等各层面标准研制进度，加速推进医疗、交通、金融等重点领域应用标准，结合东盟十国产业需求，提前布局高价值场景人工智能标准。建立标准动态更新机制，适应技术快速迭代的特点。</w:t>
      </w:r>
    </w:p>
    <w:p w14:paraId="66936675">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（二）加强技术创新与标准协同</w:t>
      </w:r>
    </w:p>
    <w:p w14:paraId="631EC664">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鼓励我国企业将自主创新技术融入人工智能标准，建立中国—东盟人工智能合作交流机制，形成“技术专利化、专利标准化、标准国际化”的发展路径。发挥人工智能行业团体组织作用，支持人工智能龙头企业牵头制定团体标准，快速响应市场需求，建设标准验证平台，促进标准实施应用。</w:t>
      </w:r>
    </w:p>
    <w:p w14:paraId="36DD2FCE">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（三）强化产学研用协同</w:t>
      </w:r>
    </w:p>
    <w:p w14:paraId="7827C218">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建设一支由企业、高校、科研院所、用户等组成的人工智能标准创新联合体，建立“场景-技术-标准”联动机制，促进高水平科技成果转化为共性技术标准，推动人工智能的“虚”与智能制造等领域的“实”融合，提升标准制定和应用效果。支持高校等培养人工智能+标准人才培养，完善人工智能标准实施激励机制，提高企业参与人工智能标准化工作的积极性。</w:t>
      </w:r>
    </w:p>
    <w:p w14:paraId="7F481173">
      <w:pPr>
        <w:pageBreakBefore w:val="0"/>
        <w:kinsoku/>
        <w:overflowPunct/>
        <w:topLinePunct w:val="0"/>
        <w:bidi w:val="0"/>
        <w:spacing w:after="0" w:line="560" w:lineRule="exact"/>
        <w:ind w:firstLine="640" w:firstLineChars="200"/>
        <w:contextualSpacing/>
        <w:rPr>
          <w:rFonts w:ascii="黑体" w:hAnsi="黑体" w:eastAsia="黑体"/>
          <w:color w:val="000000"/>
          <w:sz w:val="32"/>
          <w:szCs w:val="22"/>
        </w:rPr>
      </w:pPr>
      <w:r>
        <w:rPr>
          <w:rFonts w:hint="eastAsia" w:ascii="黑体" w:hAnsi="黑体" w:eastAsia="黑体"/>
          <w:color w:val="000000"/>
          <w:sz w:val="32"/>
          <w:szCs w:val="22"/>
        </w:rPr>
        <w:t>四、加快推进中国—东盟人工智能标准合作建议</w:t>
      </w:r>
    </w:p>
    <w:p w14:paraId="77EA9BA3">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抢抓落实中国—东盟自贸区3.0谈判成果，发挥我国人工智能各方面优势，加强人工智能创新研发，推动高水平人工智能成果转化，加快推进中国—东盟的人工智能标准制度型开放合作，提升我国人工智能标准的竞争力和影响力，推动中国—东盟数字市场互联互通，促进我国人工智能技术、产品和服务于东盟十国。</w:t>
      </w:r>
    </w:p>
    <w:p w14:paraId="203B50D6">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（一）建立合作交流机制</w:t>
      </w:r>
    </w:p>
    <w:p w14:paraId="493CD2D1">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发挥标准化论坛等平台作用，加强与东盟十国标准化、人工智能相关的政府机构、高校、企业和研究机构等交流，建立中国—东盟人工智能标准合作交流机制，成立中国—东盟人工智能行业发展联盟组织，定期举办中国—东盟人工智能标准化论坛、细分专业领域研讨会、标准对接会等，促进中国—东盟人工智能标准交流合作。</w:t>
      </w:r>
    </w:p>
    <w:p w14:paraId="57B037A5">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（二）强化产业标准兼容性</w:t>
      </w:r>
    </w:p>
    <w:p w14:paraId="1349AFC6">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支持中国人工智能头部社会团体建立国际组织或自身发展成为国际组织，建设专业化的行业联盟，吸纳中国—东盟双方龙头企业、科研院所等成员多方参与，共同研制和应用多语种标准，不断提升人工智能标准影响力，推动人工智能标准成为实事国际标准。同时，加强标准、技术法规比对研究，加大采用人工智能国际标准或先进适用标准力度，推动我国与东盟签署人工智能标准互认清单，提升区域人工智能标准兼容性。</w:t>
      </w:r>
    </w:p>
    <w:p w14:paraId="50FCA07F">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（三）加快应用标准外文版</w:t>
      </w:r>
    </w:p>
    <w:p w14:paraId="360BB7DE">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制定和实施人工智能中国标准外文版促进计划，发挥贸易投资、技术援助等项目中使用中国标准的带动作用，鼓励我国企业在东盟国家建立人工智能标准化试点，展示先进技术和产业应用成果，加快新能源汽车、智慧城市、智慧农业等领域标准在东盟国家的推广应用，提升我国人工智能标准的区域和国际影响力。</w:t>
      </w:r>
    </w:p>
    <w:p w14:paraId="530D84C1">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（四）建设验证认证平台</w:t>
      </w:r>
    </w:p>
    <w:p w14:paraId="166B2A81">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依托双方共建的中国—东盟人工智能实验室、马中人工智能创新与合作中心等机构，开展人工智能标准测试验证和评估，形成区域通用的智能化水平测试评估规范，持续优化标准内容，同步推进人工智能产品和服务认证，便利数字经济贸易发展。</w:t>
      </w:r>
    </w:p>
    <w:p w14:paraId="464244AB">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楷体" w:hAnsi="楷体" w:eastAsia="楷体"/>
          <w:color w:val="000000"/>
          <w:sz w:val="32"/>
          <w:szCs w:val="22"/>
        </w:rPr>
        <w:t>（五）设立境外服务机构</w:t>
      </w:r>
    </w:p>
    <w:p w14:paraId="7C39F443">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统筹策划，在马来西亚、印度尼西亚等国家设立人工智能标准化服务咨询机构，为双方人工智能领域贸易投资、标准制修订等合作提供全链条的多语言标准化服务，促进双方合作便利化。</w:t>
      </w:r>
    </w:p>
    <w:p w14:paraId="51C0F19C">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（六）强化复合型人才培养</w:t>
      </w:r>
    </w:p>
    <w:p w14:paraId="0969994E">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实施“东盟标准专家培养计划”，为东盟十国培训标准化人工智能专业人才，促进中国—东盟人工智能民心相通。在部分高校开设人工智能标准化课程，以多种方式合作培养懂标准、懂规则、懂技术的复合型标准化人才，形成贯穿“产学研用”全链条的标准化人才梯队。</w:t>
      </w:r>
    </w:p>
    <w:p w14:paraId="75C50D3D">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（七）加强标准化协调配合</w:t>
      </w:r>
    </w:p>
    <w:p w14:paraId="1BF8D712">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加强与东盟标准与质量协商委员会（ACCSQ）、东盟各国标准化机构，以及落户到东盟国家的人工智能国际标准化技术组织的协调配合，主导或参与发起人工智能相关国际标准提案，提高人工智能国际标准立项和编制的成功率。</w:t>
      </w:r>
    </w:p>
    <w:p w14:paraId="16830E33">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（八）支持当地标准能力建设</w:t>
      </w:r>
    </w:p>
    <w:p w14:paraId="4DD87E4E">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通过技术援助、建设绿色标准等多种方式，提升东盟十国在人工智能标准制修订、标准数字化加工、标准信息化管理、标准服务平台建设等环节的能力，融合复合型标准化人才培养，提升人工智能标准化的认识和工作水平。</w:t>
      </w:r>
    </w:p>
    <w:p w14:paraId="7CABD5B8">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（九）强化国家比较与经验借鉴</w:t>
      </w:r>
    </w:p>
    <w:p w14:paraId="5AC1531B">
      <w:pPr>
        <w:pageBreakBefore w:val="0"/>
        <w:kinsoku/>
        <w:overflowPunct/>
        <w:topLinePunct w:val="0"/>
        <w:bidi w:val="0"/>
        <w:spacing w:after="0" w:line="560" w:lineRule="exact"/>
        <w:ind w:firstLine="640" w:firstLineChars="200"/>
        <w:contextualSpacing/>
        <w:rPr>
          <w:rFonts w:ascii="Times New Roman" w:hAnsi="Times New Roman" w:eastAsia="仿宋"/>
          <w:color w:val="000000"/>
          <w:sz w:val="32"/>
          <w:szCs w:val="22"/>
        </w:rPr>
      </w:pPr>
      <w:r>
        <w:rPr>
          <w:rFonts w:hint="eastAsia" w:ascii="Times New Roman" w:hAnsi="Times New Roman" w:eastAsia="仿宋"/>
          <w:color w:val="000000"/>
          <w:sz w:val="32"/>
          <w:szCs w:val="22"/>
        </w:rPr>
        <w:t>在中国—东盟人工智能标准合作中密切关注国际标准化组织及各国政府在人工智能领域的标准制定动态，及时了解其发布的标准、指南和技术报告，掌握国际上关于人工智能隐私安全、稳定性、可解释性、风险评估等方面的最新要求和规范，为中国—东盟人工智能标准化合作提供参考依据。</w:t>
      </w:r>
    </w:p>
    <w:p w14:paraId="18304B15">
      <w:pPr>
        <w:pageBreakBefore w:val="0"/>
        <w:kinsoku/>
        <w:overflowPunct/>
        <w:topLinePunct w:val="0"/>
        <w:bidi w:val="0"/>
        <w:spacing w:after="0" w:line="560" w:lineRule="exact"/>
        <w:ind w:firstLine="640" w:firstLineChars="200"/>
        <w:contextualSpacing/>
        <w:rPr>
          <w:rFonts w:ascii="楷体" w:hAnsi="楷体" w:eastAsia="楷体"/>
          <w:color w:val="000000"/>
          <w:sz w:val="32"/>
          <w:szCs w:val="22"/>
        </w:rPr>
      </w:pPr>
      <w:r>
        <w:rPr>
          <w:rFonts w:hint="eastAsia" w:ascii="楷体" w:hAnsi="楷体" w:eastAsia="楷体"/>
          <w:color w:val="000000"/>
          <w:sz w:val="32"/>
          <w:szCs w:val="22"/>
        </w:rPr>
        <w:t>（十）强化风险评估与应对策略</w:t>
      </w:r>
    </w:p>
    <w:p w14:paraId="55361675">
      <w:pPr>
        <w:pageBreakBefore w:val="0"/>
        <w:kinsoku/>
        <w:overflowPunct/>
        <w:topLinePunct w:val="0"/>
        <w:bidi w:val="0"/>
        <w:spacing w:after="0" w:line="560" w:lineRule="exact"/>
        <w:ind w:firstLine="640" w:firstLineChars="200"/>
        <w:contextualSpacing/>
      </w:pPr>
      <w:r>
        <w:rPr>
          <w:rFonts w:hint="eastAsia" w:ascii="Times New Roman" w:hAnsi="Times New Roman" w:eastAsia="仿宋"/>
          <w:color w:val="000000"/>
          <w:sz w:val="32"/>
          <w:szCs w:val="22"/>
        </w:rPr>
        <w:t>针对中国—东盟人工智能标准化合作中涉及技术壁垒风险，加强技术交流与研发合作，建立标准互认体系，进一步提升技术基础能力；针对中国—东盟人工智能标准化合作中涉及文化差异风险，增进文化理解和交流，培养跨文化人才，制定文化适用性策略；针对中国—东盟人工智能标准化合作中涉及法律合规风险，加强法律政策沟通与协调，开展法律合规性培训，建立法律风险防范机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16DF1"/>
    <w:rsid w:val="0CEB0F40"/>
    <w:rsid w:val="14AD3530"/>
    <w:rsid w:val="67733F11"/>
    <w:rsid w:val="6CF16DF1"/>
    <w:rsid w:val="7051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next w:val="1"/>
    <w:qFormat/>
    <w:uiPriority w:val="0"/>
    <w:pPr>
      <w:keepNext/>
      <w:keepLines/>
      <w:widowControl/>
      <w:spacing w:before="120" w:after="120" w:line="360" w:lineRule="auto"/>
      <w:jc w:val="center"/>
      <w:outlineLvl w:val="3"/>
    </w:pPr>
    <w:rPr>
      <w:rFonts w:ascii="Arial" w:hAnsi="Arial" w:eastAsia="黑体" w:cs="Times New Roman"/>
      <w:kern w:val="2"/>
      <w:sz w:val="28"/>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next w:val="4"/>
    <w:qFormat/>
    <w:uiPriority w:val="0"/>
    <w:pPr>
      <w:widowControl w:val="0"/>
      <w:spacing w:line="640" w:lineRule="exact"/>
      <w:jc w:val="center"/>
    </w:pPr>
    <w:rPr>
      <w:rFonts w:ascii="华文中宋" w:hAnsi="Times New Roman" w:eastAsia="华文中宋" w:cs="Times New Roman"/>
      <w:b/>
      <w:bCs/>
      <w:kern w:val="2"/>
      <w:sz w:val="44"/>
      <w:szCs w:val="24"/>
      <w:lang w:val="en-US" w:eastAsia="zh-CN" w:bidi="ar-SA"/>
    </w:rPr>
  </w:style>
  <w:style w:type="paragraph" w:styleId="4">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5">
    <w:name w:val="Body Text Indent"/>
    <w:next w:val="1"/>
    <w:qFormat/>
    <w:uiPriority w:val="0"/>
    <w:pPr>
      <w:widowControl w:val="0"/>
      <w:spacing w:after="120"/>
      <w:ind w:left="200" w:leftChars="200"/>
      <w:jc w:val="both"/>
    </w:pPr>
    <w:rPr>
      <w:rFonts w:ascii="等线" w:hAnsi="等线" w:eastAsia="宋体" w:cs="Times New Roman"/>
      <w:kern w:val="2"/>
      <w:sz w:val="21"/>
      <w:szCs w:val="24"/>
      <w:lang w:val="en-US" w:eastAsia="zh-CN" w:bidi="ar-SA"/>
    </w:rPr>
  </w:style>
  <w:style w:type="paragraph" w:styleId="6">
    <w:name w:val="footer"/>
    <w:next w:val="1"/>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7">
    <w:name w:val="Body Text First Indent"/>
    <w:next w:val="6"/>
    <w:qFormat/>
    <w:uiPriority w:val="0"/>
    <w:pPr>
      <w:widowControl w:val="0"/>
      <w:spacing w:line="640" w:lineRule="exact"/>
      <w:ind w:firstLine="420" w:firstLineChars="100"/>
      <w:jc w:val="center"/>
    </w:pPr>
    <w:rPr>
      <w:rFonts w:ascii="华文中宋" w:hAnsi="Times New Roman" w:eastAsia="华文中宋" w:cs="Times New Roman"/>
      <w:b/>
      <w:bCs/>
      <w:kern w:val="2"/>
      <w:sz w:val="44"/>
      <w:szCs w:val="24"/>
      <w:lang w:val="en-US" w:eastAsia="zh-CN" w:bidi="ar-SA"/>
    </w:rPr>
  </w:style>
  <w:style w:type="paragraph" w:customStyle="1" w:styleId="10">
    <w:name w:val="Heading2"/>
    <w:next w:val="1"/>
    <w:qFormat/>
    <w:uiPriority w:val="0"/>
    <w:pPr>
      <w:widowControl w:val="0"/>
      <w:spacing w:after="0" w:line="240" w:lineRule="auto"/>
      <w:ind w:firstLine="580" w:firstLineChars="196"/>
      <w:jc w:val="both"/>
      <w:textAlignment w:val="baseline"/>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24186</Words>
  <Characters>24692</Characters>
  <Lines>0</Lines>
  <Paragraphs>0</Paragraphs>
  <TotalTime>15</TotalTime>
  <ScaleCrop>false</ScaleCrop>
  <LinksUpToDate>false</LinksUpToDate>
  <CharactersWithSpaces>24754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2025-11-27T00:18:00Z</dcterms:created>
  <dc:creator>微信用户</dc:creator>
  <cp:lastModifiedBy>三社</cp:lastModifiedBy>
  <dcterms:modified xsi:type="dcterms:W3CDTF">2025-11-27T07:45:31Z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A4C5F12C581B416AB2756042A4CAF802_11</vt:lpwstr>
  </property>
  <property fmtid="{D5CDD505-2E9C-101B-9397-08002B2CF9AE}" pid="4" name="KSOTemplateDocerSaveRecord">
    <vt:lpwstr>eyJoZGlkIjoiMDEzMTg2ZGQyNDcwMDUzYzQ3MmI1YzIwYWMzOTMxNDYiLCJ1c2VySWQiOiI2NjYyNjI0OTgifQ==</vt:lpwstr>
  </property>
</Properties>
</file>