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F2A53">
      <w:pPr>
        <w:spacing w:line="560" w:lineRule="exact"/>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附件1</w:t>
      </w:r>
    </w:p>
    <w:p w14:paraId="5DC0FDF2">
      <w:pPr>
        <w:spacing w:line="560" w:lineRule="exact"/>
        <w:outlineLvl w:val="0"/>
        <w:rPr>
          <w:rFonts w:hint="eastAsia" w:ascii="仿宋" w:hAnsi="仿宋" w:eastAsia="仿宋" w:cs="仿宋"/>
          <w:bCs/>
          <w:color w:val="000000"/>
          <w:sz w:val="32"/>
          <w:szCs w:val="32"/>
        </w:rPr>
      </w:pPr>
    </w:p>
    <w:p w14:paraId="349907A5">
      <w:pPr>
        <w:spacing w:line="560" w:lineRule="exact"/>
        <w:jc w:val="center"/>
        <w:outlineLvl w:val="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2019年广西食糖产业质量提升行动实施方案</w:t>
      </w:r>
    </w:p>
    <w:p w14:paraId="306C9E3D">
      <w:pPr>
        <w:snapToGrid w:val="0"/>
        <w:spacing w:line="560" w:lineRule="exact"/>
        <w:ind w:firstLine="640" w:firstLineChars="200"/>
        <w:rPr>
          <w:rFonts w:hint="eastAsia" w:ascii="仿宋" w:hAnsi="仿宋" w:eastAsia="仿宋" w:cs="仿宋"/>
          <w:color w:val="000000"/>
          <w:sz w:val="32"/>
          <w:szCs w:val="32"/>
        </w:rPr>
      </w:pPr>
    </w:p>
    <w:p w14:paraId="1ECF2875">
      <w:pPr>
        <w:snapToGrid w:val="0"/>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为贯彻落实《中共广西壮族自治区委员会 广西壮族自治区人民政府关于开展质量提升行动的实施意见》（桂发〔2018〕9号）精神，深入推进质量强桂战略，提升我区食糖产业质量发展和经济效益，制定本方案。</w:t>
      </w:r>
    </w:p>
    <w:p w14:paraId="29B7B2E0">
      <w:pPr>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14:paraId="05F9DE8D">
      <w:pPr>
        <w:snapToGrid w:val="0"/>
        <w:spacing w:line="56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（一）指导思想</w:t>
      </w:r>
    </w:p>
    <w:p w14:paraId="4BE72C7C">
      <w:pPr>
        <w:snapToGri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以习近平新时代中国特色社会主义思想为指导，坚持新发展理念，</w:t>
      </w:r>
      <w:r>
        <w:rPr>
          <w:rFonts w:ascii="仿宋_GB2312" w:hAnsi="仿宋" w:eastAsia="仿宋_GB2312" w:cs="仿宋"/>
          <w:sz w:val="32"/>
          <w:szCs w:val="32"/>
        </w:rPr>
        <w:t>深入推进广西质量强桂战略</w:t>
      </w:r>
      <w:r>
        <w:rPr>
          <w:rFonts w:hint="eastAsia" w:ascii="仿宋_GB2312" w:hAnsi="仿宋" w:eastAsia="仿宋_GB2312" w:cs="仿宋"/>
          <w:sz w:val="32"/>
          <w:szCs w:val="32"/>
        </w:rPr>
        <w:t>，认真落实自治区党委书记鹿心社有关“解放思想、改革创新、扩大开放、担当实干”的</w:t>
      </w:r>
      <w:r>
        <w:rPr>
          <w:rFonts w:hint="eastAsia" w:ascii="仿宋_GB2312" w:hAnsi="仿宋" w:eastAsia="仿宋_GB2312" w:cs="仿宋"/>
          <w:sz w:val="32"/>
          <w:szCs w:val="32"/>
          <w:lang w:val="en-US" w:eastAsia="zh-CN"/>
        </w:rPr>
        <w:t>重要</w:t>
      </w:r>
      <w:r>
        <w:rPr>
          <w:rFonts w:hint="eastAsia" w:ascii="仿宋_GB2312" w:hAnsi="仿宋" w:eastAsia="仿宋_GB2312" w:cs="仿宋"/>
          <w:sz w:val="32"/>
          <w:szCs w:val="32"/>
        </w:rPr>
        <w:t>讲话精神，以提高发展质量和效益为中心，综合运用标准、计量、检验检测、认证认可等手段，形成支撑与推动产品质量提升的强大合力，为食糖全产业链开辟一条高水平的质量提升路径。</w:t>
      </w:r>
    </w:p>
    <w:p w14:paraId="690DF8C6">
      <w:pPr>
        <w:snapToGrid w:val="0"/>
        <w:spacing w:line="56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（二）主要目标</w:t>
      </w:r>
    </w:p>
    <w:p w14:paraId="626139F6">
      <w:pPr>
        <w:snapToGrid w:val="0"/>
        <w:spacing w:line="560" w:lineRule="exact"/>
        <w:ind w:firstLine="640" w:firstLineChars="200"/>
        <w:rPr>
          <w:rFonts w:hint="eastAsia" w:ascii="仿宋_GB2312" w:hAnsi="仿宋" w:eastAsia="仿宋_GB2312" w:cs="仿宋"/>
          <w:color w:val="000000"/>
          <w:sz w:val="32"/>
          <w:szCs w:val="32"/>
        </w:rPr>
      </w:pPr>
      <w:bookmarkStart w:id="0" w:name="_Hlk18525565"/>
      <w:r>
        <w:rPr>
          <w:rFonts w:hint="eastAsia" w:ascii="仿宋_GB2312" w:hAnsi="仿宋" w:eastAsia="仿宋_GB2312" w:cs="仿宋"/>
          <w:color w:val="000000"/>
          <w:kern w:val="0"/>
          <w:sz w:val="32"/>
          <w:szCs w:val="32"/>
        </w:rPr>
        <w:t>通过食糖产业标准化情况、计量基础和产品质量状况调研，通过国内外标准比</w:t>
      </w:r>
      <w:bookmarkStart w:id="2" w:name="_GoBack"/>
      <w:bookmarkEnd w:id="2"/>
      <w:r>
        <w:rPr>
          <w:rFonts w:hint="eastAsia" w:ascii="仿宋_GB2312" w:hAnsi="仿宋" w:eastAsia="仿宋_GB2312" w:cs="仿宋"/>
          <w:color w:val="000000"/>
          <w:kern w:val="0"/>
          <w:sz w:val="32"/>
          <w:szCs w:val="32"/>
        </w:rPr>
        <w:t>对、区内外产品质量比对，</w:t>
      </w:r>
      <w:r>
        <w:rPr>
          <w:rFonts w:hint="eastAsia" w:ascii="仿宋_GB2312" w:hAnsi="仿宋" w:eastAsia="仿宋_GB2312" w:cs="仿宋"/>
          <w:color w:val="000000"/>
          <w:sz w:val="32"/>
          <w:szCs w:val="32"/>
        </w:rPr>
        <w:t>查找束缚我区产业发展的行业“通病”和质量“短板”，研究制定产品质量技术升级技术路径。围绕产业和企业的标准化需求，建立健全标准体系，组织研究制定食糖相关产品团体标准，研发食糖标准信息服务平台。</w:t>
      </w:r>
      <w:bookmarkEnd w:id="0"/>
      <w:r>
        <w:rPr>
          <w:rFonts w:hint="eastAsia" w:ascii="仿宋_GB2312" w:hAnsi="仿宋" w:eastAsia="仿宋_GB2312" w:cs="仿宋"/>
          <w:color w:val="000000"/>
          <w:sz w:val="32"/>
          <w:szCs w:val="32"/>
        </w:rPr>
        <w:t>通过夯实计量基础、创新计量技术、优化计量服务，为企业提升产品质量发挥计量支撑作用。全面发挥认证拉高线的作用，为食糖产业企业开展“广西优质”认证、香港优质“正”印产品认证和Bonscuro蔗糖体系认证，助推广西食糖产业转型升级，助力广西优质白砂糖拓展海外市场。2019年培育一批示范企业，区内食糖产品质量合格率同比提升0.2个百分点，产品质量达到国内先进水平，品牌竞争力显著增强。</w:t>
      </w:r>
    </w:p>
    <w:p w14:paraId="3A031318">
      <w:pPr>
        <w:spacing w:line="560" w:lineRule="exact"/>
        <w:ind w:firstLine="643" w:firstLineChars="200"/>
        <w:outlineLvl w:val="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（三）基本原则</w:t>
      </w:r>
    </w:p>
    <w:p w14:paraId="3E320BF7">
      <w:pPr>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1.突出主体、把握重点</w:t>
      </w:r>
      <w:r>
        <w:rPr>
          <w:rFonts w:hint="eastAsia" w:ascii="仿宋_GB2312" w:hAnsi="仿宋" w:eastAsia="仿宋_GB2312" w:cs="仿宋"/>
          <w:color w:val="000000"/>
          <w:sz w:val="32"/>
          <w:szCs w:val="32"/>
        </w:rPr>
        <w:t>。此次行动围绕广西食糖产品质量提升，注意从企业内生动力和需求方面着眼，推动企业不断增强质量主体责任，完善标准体系、计量管理体系及质量体系，提升质量基础能力和水平。</w:t>
      </w:r>
    </w:p>
    <w:p w14:paraId="0F69FCF0">
      <w:pPr>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2.聚焦需求、选准难点</w:t>
      </w:r>
      <w:r>
        <w:rPr>
          <w:rFonts w:hint="eastAsia" w:ascii="仿宋_GB2312" w:hAnsi="仿宋" w:eastAsia="仿宋_GB2312" w:cs="仿宋"/>
          <w:color w:val="000000"/>
          <w:sz w:val="32"/>
          <w:szCs w:val="32"/>
        </w:rPr>
        <w:t>。针对不同企业发展特点和需求，深入挖掘和梳理企业在原料采购、工艺控制、产品检测、节能环保等方面，有针对性地开展为广西食糖企业提供产品标准、计量、质量、认证等全方位服务。</w:t>
      </w:r>
    </w:p>
    <w:p w14:paraId="4A1A8864">
      <w:pPr>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3.注重成效、引领示范</w:t>
      </w:r>
      <w:r>
        <w:rPr>
          <w:rFonts w:hint="eastAsia" w:ascii="仿宋_GB2312" w:hAnsi="仿宋" w:eastAsia="仿宋_GB2312" w:cs="仿宋"/>
          <w:color w:val="000000"/>
          <w:sz w:val="32"/>
          <w:szCs w:val="32"/>
        </w:rPr>
        <w:t>。服务企业要突出成效，真正帮助企业解决实际困难和问题，真正帮助企业提质增效。要总结服务模式和服务经验，力争形成可推广、可复制的长效机制和服务方案。</w:t>
      </w:r>
    </w:p>
    <w:p w14:paraId="1550881E">
      <w:pPr>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二、主要任务</w:t>
      </w:r>
    </w:p>
    <w:p w14:paraId="6CB040E3">
      <w:pPr>
        <w:spacing w:line="560" w:lineRule="exact"/>
        <w:ind w:firstLine="643" w:firstLineChars="200"/>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（一）全面调研行业质量基础</w:t>
      </w:r>
    </w:p>
    <w:p w14:paraId="4559F2B8">
      <w:pPr>
        <w:spacing w:line="560" w:lineRule="exact"/>
        <w:outlineLvl w:val="0"/>
        <w:rPr>
          <w:rFonts w:hint="eastAsia" w:ascii="楷体_GB2312" w:hAnsi="楷体_GB2312" w:eastAsia="楷体_GB2312" w:cs="楷体_GB2312"/>
          <w:b/>
          <w:sz w:val="32"/>
          <w:szCs w:val="32"/>
        </w:rPr>
      </w:pPr>
      <w:r>
        <w:rPr>
          <w:rFonts w:hint="eastAsia" w:ascii="仿宋_GB2312" w:hAnsi="仿宋" w:eastAsia="仿宋_GB2312" w:cs="仿宋"/>
          <w:sz w:val="32"/>
          <w:szCs w:val="32"/>
        </w:rPr>
        <w:t>　　</w:t>
      </w:r>
      <w:bookmarkStart w:id="1" w:name="_Hlk18526192"/>
      <w:r>
        <w:rPr>
          <w:rFonts w:hint="eastAsia" w:ascii="仿宋_GB2312" w:hAnsi="仿宋" w:eastAsia="仿宋_GB2312" w:cs="仿宋"/>
          <w:sz w:val="32"/>
          <w:szCs w:val="32"/>
        </w:rPr>
        <w:t>围绕食糖行业标准化情况、计量基础、质量基础、技术创新和品牌建设等方面，到食糖行业主管部门、重点企业、科研单位、质检机构等进行实地调研，搜集整理国内外食糖相关标准和资料，摸清全区食糖行业企业数量及分布、产品种类，深入挖掘糖业的标准化、计量和质量技术需求。加强调研信息分析，对标先进地区找差距，找准行业通病和质量短板，寻求新时期在大市场监管体系下，提升食糖产业质量的有效切入点。</w:t>
      </w:r>
      <w:r>
        <w:rPr>
          <w:rFonts w:hint="eastAsia" w:ascii="楷体_GB2312" w:hAnsi="楷体_GB2312" w:eastAsia="楷体_GB2312" w:cs="楷体_GB2312"/>
          <w:b/>
          <w:sz w:val="32"/>
          <w:szCs w:val="32"/>
        </w:rPr>
        <w:t>（责任部门：质检院、计量院、标准院）</w:t>
      </w:r>
    </w:p>
    <w:bookmarkEnd w:id="1"/>
    <w:p w14:paraId="1D54C4A2">
      <w:pPr>
        <w:spacing w:line="560" w:lineRule="exact"/>
        <w:ind w:firstLine="643" w:firstLineChars="200"/>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（二）比对分析产品标准、计量、质量状况</w:t>
      </w:r>
    </w:p>
    <w:p w14:paraId="12983429">
      <w:pPr>
        <w:spacing w:line="560" w:lineRule="exact"/>
        <w:ind w:firstLine="643" w:firstLineChars="200"/>
        <w:rPr>
          <w:rFonts w:ascii="楷体_GB2312" w:hAnsi="楷体_GB2312" w:eastAsia="楷体_GB2312" w:cs="楷体_GB2312"/>
          <w:b/>
          <w:sz w:val="32"/>
          <w:szCs w:val="32"/>
        </w:rPr>
      </w:pPr>
      <w:r>
        <w:rPr>
          <w:rFonts w:hint="eastAsia" w:ascii="仿宋_GB2312" w:eastAsia="仿宋_GB2312"/>
          <w:b/>
          <w:bCs/>
          <w:sz w:val="32"/>
          <w:szCs w:val="32"/>
        </w:rPr>
        <w:t>1．开展食糖产品国内外标准比对。</w:t>
      </w:r>
      <w:r>
        <w:rPr>
          <w:rFonts w:hint="eastAsia" w:ascii="仿宋_GB2312" w:eastAsia="仿宋_GB2312"/>
          <w:sz w:val="32"/>
          <w:szCs w:val="32"/>
        </w:rPr>
        <w:t>通过食糖行业的实地</w:t>
      </w:r>
      <w:r>
        <w:rPr>
          <w:rFonts w:ascii="仿宋_GB2312" w:eastAsia="仿宋_GB2312"/>
          <w:sz w:val="32"/>
          <w:szCs w:val="32"/>
        </w:rPr>
        <w:t>调研以及对</w:t>
      </w:r>
      <w:r>
        <w:rPr>
          <w:rFonts w:hint="eastAsia" w:ascii="仿宋_GB2312" w:eastAsia="仿宋_GB2312"/>
          <w:sz w:val="32"/>
          <w:szCs w:val="32"/>
        </w:rPr>
        <w:t>资料、数据、标准等方面进行整理汇总、比对分析，从标准化角度找出存在问题及制约产业发展的因素，提出白砂糖质量提升标准化方面的措施和建议，形成比对研究报告。</w:t>
      </w:r>
      <w:r>
        <w:rPr>
          <w:rFonts w:hint="eastAsia" w:ascii="楷体_GB2312" w:hAnsi="楷体_GB2312" w:eastAsia="楷体_GB2312" w:cs="楷体_GB2312"/>
          <w:b/>
          <w:sz w:val="32"/>
          <w:szCs w:val="32"/>
        </w:rPr>
        <w:t>（责任部门：标准院）</w:t>
      </w:r>
    </w:p>
    <w:p w14:paraId="581BAEC6">
      <w:pPr>
        <w:spacing w:line="560" w:lineRule="exact"/>
        <w:ind w:firstLine="643" w:firstLineChars="200"/>
        <w:outlineLvl w:val="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2．</w:t>
      </w:r>
      <w:r>
        <w:rPr>
          <w:rFonts w:hint="eastAsia" w:ascii="仿宋_GB2312" w:eastAsia="仿宋_GB2312"/>
          <w:b/>
          <w:bCs/>
          <w:sz w:val="32"/>
          <w:szCs w:val="32"/>
        </w:rPr>
        <w:t>开展计量技术比对。</w:t>
      </w:r>
      <w:r>
        <w:rPr>
          <w:rFonts w:hint="eastAsia" w:ascii="仿宋_GB2312" w:hAnsi="宋体" w:eastAsia="仿宋_GB2312" w:cs="仿宋"/>
          <w:sz w:val="32"/>
          <w:szCs w:val="32"/>
        </w:rPr>
        <w:t>结合蔗糖产业</w:t>
      </w:r>
      <w:r>
        <w:rPr>
          <w:rFonts w:hint="eastAsia" w:ascii="仿宋_GB2312" w:eastAsia="仿宋_GB2312"/>
          <w:sz w:val="32"/>
          <w:szCs w:val="32"/>
        </w:rPr>
        <w:t>计量基础情况普查和调研数据，对全区制糖及上下游企业的计量器具配备水平和计量技术能力水平进行全面比对分析。与糖业协会、计量协会、科研机构、专业院校等单位建立横向联系，分析蔗糖全产业链的计量技术需求，找到制约糖业发展的计量技术瓶颈，站在计量工作的角度为蔗糖产业质量提升提出切实可行的措施和建议，并针对企业的共性计量技术难题，提出计量技术解决方案。</w:t>
      </w:r>
      <w:r>
        <w:rPr>
          <w:rFonts w:hint="eastAsia" w:ascii="楷体_GB2312" w:hAnsi="楷体_GB2312" w:eastAsia="楷体_GB2312" w:cs="楷体_GB2312"/>
          <w:b/>
          <w:sz w:val="32"/>
          <w:szCs w:val="32"/>
        </w:rPr>
        <w:t>（责任部门：计量院）</w:t>
      </w:r>
    </w:p>
    <w:p w14:paraId="7808DF92">
      <w:pPr>
        <w:spacing w:line="560" w:lineRule="exact"/>
        <w:ind w:firstLine="643" w:firstLineChars="200"/>
        <w:outlineLvl w:val="0"/>
        <w:rPr>
          <w:rFonts w:hint="eastAsia" w:ascii="楷体_GB2312" w:hAnsi="楷体_GB2312" w:eastAsia="楷体_GB2312" w:cs="楷体_GB2312"/>
          <w:b/>
          <w:sz w:val="32"/>
          <w:szCs w:val="32"/>
        </w:rPr>
      </w:pPr>
      <w:r>
        <w:rPr>
          <w:rFonts w:hint="eastAsia" w:ascii="仿宋_GB2312" w:hAnsi="宋体" w:eastAsia="仿宋_GB2312" w:cs="仿宋"/>
          <w:b/>
          <w:bCs/>
          <w:sz w:val="32"/>
          <w:szCs w:val="32"/>
        </w:rPr>
        <w:t>3．</w:t>
      </w:r>
      <w:r>
        <w:rPr>
          <w:rFonts w:hint="eastAsia" w:ascii="仿宋_GB2312" w:hAnsi="仿宋" w:eastAsia="仿宋_GB2312" w:cs="仿宋"/>
          <w:b/>
          <w:bCs/>
          <w:sz w:val="32"/>
          <w:szCs w:val="32"/>
        </w:rPr>
        <w:t>开展</w:t>
      </w:r>
      <w:r>
        <w:rPr>
          <w:rFonts w:hint="eastAsia" w:ascii="仿宋_GB2312" w:eastAsia="仿宋_GB2312"/>
          <w:b/>
          <w:bCs/>
          <w:sz w:val="32"/>
          <w:szCs w:val="32"/>
        </w:rPr>
        <w:t>食糖产品</w:t>
      </w:r>
      <w:r>
        <w:rPr>
          <w:rFonts w:hint="eastAsia" w:ascii="仿宋_GB2312" w:hAnsi="仿宋" w:eastAsia="仿宋_GB2312" w:cs="仿宋"/>
          <w:b/>
          <w:bCs/>
          <w:sz w:val="32"/>
          <w:szCs w:val="32"/>
        </w:rPr>
        <w:t>质量状况比对。</w:t>
      </w:r>
      <w:r>
        <w:rPr>
          <w:rFonts w:hint="eastAsia" w:ascii="仿宋_GB2312" w:hAnsi="仿宋" w:eastAsia="仿宋_GB2312" w:cs="仿宋"/>
          <w:sz w:val="32"/>
          <w:szCs w:val="32"/>
        </w:rPr>
        <w:t>完成广西区内2018/19年榨季生产的白砂糖产品的抽取，抽样范围覆盖全区14个地级市食糖生产企业，样品包括精制糖、优级糖、一级糖。对抽取样品的检测及数据汇总，检测项目按照T/GXTY 001-2017《白砂糖》标准中的全部项目（7项质量指标、1项微生物指标、1项食品添加剂指标、2项污染物指标）进行检测。对检测数据汇总分析，与被抽取样品的企业实验室进行7项质量指标和1项食品添加剂指标的比对。比对分析工作完成后按相关文件及工作方案要求，结合质量比对分析结果，形成质量比对分析报告。</w:t>
      </w:r>
      <w:r>
        <w:rPr>
          <w:rFonts w:hint="eastAsia" w:ascii="楷体_GB2312" w:hAnsi="楷体_GB2312" w:eastAsia="楷体_GB2312" w:cs="楷体_GB2312"/>
          <w:b/>
          <w:sz w:val="32"/>
          <w:szCs w:val="32"/>
        </w:rPr>
        <w:t>（责任部门：质检院）</w:t>
      </w:r>
    </w:p>
    <w:p w14:paraId="778E1483">
      <w:pPr>
        <w:spacing w:line="560" w:lineRule="exact"/>
        <w:ind w:firstLine="643" w:firstLineChars="200"/>
        <w:outlineLvl w:val="0"/>
        <w:rPr>
          <w:rFonts w:hint="eastAsia" w:ascii="仿宋_GB2312" w:hAnsi="仿宋" w:eastAsia="仿宋_GB2312" w:cs="仿宋"/>
          <w:b/>
          <w:bCs/>
          <w:sz w:val="32"/>
          <w:szCs w:val="32"/>
        </w:rPr>
      </w:pPr>
      <w:r>
        <w:rPr>
          <w:rFonts w:hint="eastAsia" w:ascii="楷体_GB2312" w:hAnsi="楷体_GB2312" w:eastAsia="楷体_GB2312" w:cs="楷体_GB2312"/>
          <w:b/>
          <w:sz w:val="32"/>
          <w:szCs w:val="32"/>
        </w:rPr>
        <w:t>（三）</w:t>
      </w:r>
      <w:r>
        <w:rPr>
          <w:rFonts w:hint="eastAsia" w:ascii="仿宋_GB2312" w:hAnsi="仿宋" w:eastAsia="仿宋_GB2312" w:cs="仿宋"/>
          <w:b/>
          <w:bCs/>
          <w:sz w:val="32"/>
          <w:szCs w:val="32"/>
        </w:rPr>
        <w:t>完善食糖产业标准体系，提升标准化技术支撑水平</w:t>
      </w:r>
    </w:p>
    <w:p w14:paraId="5C49B62B">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1．研制食糖相关产品团体标准。</w:t>
      </w:r>
      <w:r>
        <w:rPr>
          <w:rFonts w:hint="eastAsia" w:ascii="仿宋_GB2312" w:hAnsi="仿宋" w:eastAsia="仿宋_GB2312" w:cs="仿宋"/>
          <w:sz w:val="32"/>
          <w:szCs w:val="32"/>
        </w:rPr>
        <w:t>开展基于现有食糖标准相关的质量提升研究，围绕蔗糖产业的产前、产中、产后的不同阶段的质量提升需求，组织研究制定技术指标严于国家标准并具有广西特色的《白砂糖》《红糖》《制糖工业助剂 硫磺》《制糖工业助剂 聚丙烯酰胺》《制糖工业助剂　磷酸》《制糖工业助剂 石灰》等食糖产品及助剂系列团体标准。</w:t>
      </w:r>
      <w:r>
        <w:rPr>
          <w:rFonts w:hint="eastAsia" w:ascii="楷体_GB2312" w:hAnsi="楷体_GB2312" w:eastAsia="楷体_GB2312" w:cs="楷体_GB2312"/>
          <w:b/>
          <w:sz w:val="32"/>
          <w:szCs w:val="32"/>
        </w:rPr>
        <w:t>（责任部门：质检院、标准院）</w:t>
      </w:r>
    </w:p>
    <w:p w14:paraId="29564738">
      <w:pPr>
        <w:spacing w:line="560" w:lineRule="exact"/>
        <w:ind w:firstLine="643" w:firstLineChars="200"/>
        <w:rPr>
          <w:rFonts w:ascii="楷体_GB2312" w:hAnsi="楷体_GB2312" w:eastAsia="楷体_GB2312" w:cs="楷体_GB2312"/>
          <w:b/>
          <w:sz w:val="32"/>
          <w:szCs w:val="32"/>
        </w:rPr>
      </w:pPr>
      <w:r>
        <w:rPr>
          <w:rFonts w:hint="eastAsia" w:ascii="仿宋_GB2312" w:hAnsi="仿宋" w:eastAsia="仿宋_GB2312" w:cs="仿宋"/>
          <w:b/>
          <w:bCs/>
          <w:sz w:val="32"/>
          <w:szCs w:val="32"/>
        </w:rPr>
        <w:t>2．建立食糖标准信息服务平台。</w:t>
      </w:r>
      <w:r>
        <w:rPr>
          <w:rFonts w:hint="eastAsia" w:ascii="仿宋_GB2312" w:hAnsi="仿宋" w:eastAsia="仿宋_GB2312" w:cs="仿宋"/>
          <w:sz w:val="32"/>
          <w:szCs w:val="32"/>
        </w:rPr>
        <w:t>整合当前食糖行业相关标准、法规和资料，形成食糖行业专题标准资源库。利用现代信息技术研究建立食糖标准信息服务平台，实现关键字的题录模糊检索和国内标准全文浏览，提取标准中重要技术指标并进行比对，为政府、企业、第三方机构、消费者提供包括生产、检测、流通等各环节的食糖行业标准化、服务、应用等功能的信息服务。</w:t>
      </w:r>
      <w:r>
        <w:rPr>
          <w:rFonts w:hint="eastAsia" w:ascii="楷体_GB2312" w:hAnsi="楷体_GB2312" w:eastAsia="楷体_GB2312" w:cs="楷体_GB2312"/>
          <w:b/>
          <w:sz w:val="32"/>
          <w:szCs w:val="32"/>
        </w:rPr>
        <w:t>（责任部门：标准院）</w:t>
      </w:r>
    </w:p>
    <w:p w14:paraId="5E712515">
      <w:pPr>
        <w:spacing w:line="560" w:lineRule="exact"/>
        <w:ind w:firstLine="643" w:firstLineChars="200"/>
        <w:outlineLvl w:val="0"/>
        <w:rPr>
          <w:rFonts w:hint="eastAsia" w:ascii="仿宋_GB2312" w:hAnsi="仿宋" w:eastAsia="仿宋_GB2312" w:cs="仿宋"/>
          <w:sz w:val="32"/>
          <w:szCs w:val="32"/>
        </w:rPr>
      </w:pPr>
      <w:r>
        <w:rPr>
          <w:rFonts w:hint="eastAsia" w:ascii="仿宋_GB2312" w:hAnsi="仿宋" w:eastAsia="仿宋_GB2312" w:cs="仿宋"/>
          <w:b/>
          <w:bCs/>
          <w:sz w:val="32"/>
          <w:szCs w:val="32"/>
        </w:rPr>
        <w:t>（四）夯实计量基础、创新计量技术，优化技术服务</w:t>
      </w:r>
    </w:p>
    <w:p w14:paraId="64BE6D61">
      <w:pPr>
        <w:spacing w:line="560" w:lineRule="exact"/>
        <w:ind w:firstLine="643" w:firstLineChars="20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1．提升服务食糖产业的计量检测能力。</w:t>
      </w:r>
      <w:r>
        <w:rPr>
          <w:rFonts w:hint="eastAsia" w:ascii="仿宋_GB2312" w:hAnsi="仿宋" w:eastAsia="仿宋_GB2312" w:cs="仿宋"/>
          <w:sz w:val="32"/>
          <w:szCs w:val="32"/>
        </w:rPr>
        <w:t>新建离子色谱仪检定装置、水中油分浓度仪检定装置、在线酸度计校准装置、阻容法露点仪校准装置等4项社会公用计量标准，为制糖产业链上下游企业和检测机构服务，保证量值的准确可靠。</w:t>
      </w:r>
      <w:r>
        <w:rPr>
          <w:rFonts w:hint="eastAsia" w:ascii="楷体_GB2312" w:hAnsi="楷体_GB2312" w:eastAsia="楷体_GB2312" w:cs="楷体_GB2312"/>
          <w:b/>
          <w:sz w:val="32"/>
          <w:szCs w:val="32"/>
        </w:rPr>
        <w:t>（责任部门：计量院）</w:t>
      </w:r>
    </w:p>
    <w:p w14:paraId="4B5E62D7">
      <w:pPr>
        <w:spacing w:line="560" w:lineRule="exact"/>
        <w:ind w:firstLine="643" w:firstLineChars="20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2．提升食糖产品关键指标的计量保证水平。</w:t>
      </w:r>
      <w:r>
        <w:rPr>
          <w:rFonts w:hint="eastAsia" w:ascii="仿宋_GB2312" w:hAnsi="仿宋" w:eastAsia="仿宋_GB2312" w:cs="仿宋"/>
          <w:sz w:val="32"/>
          <w:szCs w:val="32"/>
        </w:rPr>
        <w:t>面向全区各市级法定计量技术机构开展旋光糖量计量值比对工作，全面真实地了解全区旋光糖度的溯源水平，考察各机构计量装置的量值差异性，查找可能存在的问题，寻求解决问题的方法，提升各市计量机构在旋光糖度这一行业关键测量参数的计量水平，保证我区制糖企业和检测机构测定旋光糖度量值的准确性和一致性，保障广西食糖产品质量稳定、优异。</w:t>
      </w:r>
      <w:r>
        <w:rPr>
          <w:rFonts w:hint="eastAsia" w:ascii="楷体_GB2312" w:hAnsi="楷体_GB2312" w:eastAsia="楷体_GB2312" w:cs="楷体_GB2312"/>
          <w:b/>
          <w:sz w:val="32"/>
          <w:szCs w:val="32"/>
        </w:rPr>
        <w:t>（责任部门：计量院）</w:t>
      </w:r>
    </w:p>
    <w:p w14:paraId="620E4352">
      <w:pPr>
        <w:spacing w:line="560" w:lineRule="exact"/>
        <w:ind w:firstLine="643" w:firstLineChars="20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3．建立和完善蔗糖产业计量测试体系。</w:t>
      </w:r>
      <w:r>
        <w:rPr>
          <w:rFonts w:hint="eastAsia" w:ascii="仿宋_GB2312" w:hAnsi="仿宋" w:eastAsia="仿宋_GB2312" w:cs="仿宋"/>
          <w:sz w:val="32"/>
          <w:szCs w:val="32"/>
        </w:rPr>
        <w:t>筹建蔗糖产业计量测试中心，优化融合计量资源，以覆盖全产业链、全溯源链、全产品寿命周期、具有适当前瞻性为运行理念，在产品全寿命周期提供计量控制和量值保证方案，为新领域、新工艺提供测量和检测技术解决方案，以及标准测量方法的制定。</w:t>
      </w:r>
      <w:r>
        <w:rPr>
          <w:rFonts w:hint="eastAsia" w:ascii="楷体_GB2312" w:hAnsi="楷体_GB2312" w:eastAsia="楷体_GB2312" w:cs="楷体_GB2312"/>
          <w:b/>
          <w:sz w:val="32"/>
          <w:szCs w:val="32"/>
        </w:rPr>
        <w:t>（责任部门：计量院）</w:t>
      </w:r>
    </w:p>
    <w:p w14:paraId="640FBBB2">
      <w:pPr>
        <w:spacing w:line="560" w:lineRule="exact"/>
        <w:ind w:firstLine="643" w:firstLineChars="20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4．</w:t>
      </w:r>
      <w:r>
        <w:rPr>
          <w:rFonts w:hint="eastAsia" w:ascii="仿宋_GB2312" w:eastAsia="仿宋_GB2312"/>
          <w:b/>
          <w:sz w:val="32"/>
          <w:szCs w:val="32"/>
        </w:rPr>
        <w:t>开展制糖关键参数在线计量检测技术研究与应用，提升制糖过程工艺控制水平。</w:t>
      </w:r>
      <w:r>
        <w:rPr>
          <w:rFonts w:hint="eastAsia" w:ascii="仿宋_GB2312" w:eastAsia="仿宋_GB2312"/>
          <w:sz w:val="32"/>
          <w:szCs w:val="32"/>
        </w:rPr>
        <w:t>重点联系2-3家制糖企业和科研单位，针对企业在在线pH测量、在线蒸汽流量测量遇到的计量技术问题，共同开展相关检测方法、量值溯源方法研究，指导企业合理使用、配置在线计量器具，为企业提供在线检测技术解决方案，提升企业对关键参数的在线检测准确度水平，提升企业能耗控制水平并降低生产成本。</w:t>
      </w:r>
      <w:r>
        <w:rPr>
          <w:rFonts w:hint="eastAsia" w:ascii="楷体_GB2312" w:hAnsi="楷体_GB2312" w:eastAsia="楷体_GB2312" w:cs="楷体_GB2312"/>
          <w:b/>
          <w:sz w:val="32"/>
          <w:szCs w:val="32"/>
        </w:rPr>
        <w:t>（责任部门：计量院）</w:t>
      </w:r>
    </w:p>
    <w:p w14:paraId="62322B8A">
      <w:pPr>
        <w:spacing w:line="560" w:lineRule="exact"/>
        <w:ind w:firstLine="643" w:firstLineChars="200"/>
        <w:rPr>
          <w:rFonts w:hint="eastAsia" w:ascii="楷体_GB2312" w:hAnsi="楷体_GB2312" w:eastAsia="楷体_GB2312" w:cs="楷体_GB2312"/>
          <w:b/>
          <w:sz w:val="32"/>
          <w:szCs w:val="32"/>
        </w:rPr>
      </w:pPr>
      <w:r>
        <w:rPr>
          <w:rFonts w:hint="eastAsia" w:ascii="仿宋_GB2312" w:eastAsia="仿宋_GB2312"/>
          <w:b/>
          <w:sz w:val="32"/>
          <w:szCs w:val="32"/>
        </w:rPr>
        <w:t>5．开展食糖产品检测方法和标准物质研究与应用，提升产品质量检测水平。</w:t>
      </w:r>
      <w:r>
        <w:rPr>
          <w:rFonts w:hint="eastAsia" w:ascii="仿宋_GB2312" w:eastAsia="仿宋_GB2312"/>
          <w:sz w:val="32"/>
          <w:szCs w:val="32"/>
        </w:rPr>
        <w:t>重点联系5-10家制糖企业和科研单位，针对食糖产品蔗糖分、色值、锤度等产品质量指标，开展研究并推广标准糖液的称量法配制方法，提升蔗糖分测定准确度；开展研究并推广近红外波长（880nm）旋光测原糖的新方法，提升传统方法的检测效率；开展食糖领域标准物质的研制，并在糖业上下游企业推广应用，保障糖品质量指标检测的准确性和溯源性。</w:t>
      </w:r>
      <w:r>
        <w:rPr>
          <w:rFonts w:hint="eastAsia" w:ascii="楷体_GB2312" w:hAnsi="楷体_GB2312" w:eastAsia="楷体_GB2312" w:cs="楷体_GB2312"/>
          <w:b/>
          <w:sz w:val="32"/>
          <w:szCs w:val="32"/>
        </w:rPr>
        <w:t>（责任部门：计量院）</w:t>
      </w:r>
    </w:p>
    <w:p w14:paraId="49719176">
      <w:pPr>
        <w:snapToGrid w:val="0"/>
        <w:spacing w:line="56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（五）大力推进认证服务</w:t>
      </w:r>
    </w:p>
    <w:p w14:paraId="2F6D0540">
      <w:pPr>
        <w:snapToGrid w:val="0"/>
        <w:spacing w:line="560" w:lineRule="exact"/>
        <w:ind w:firstLine="643" w:firstLineChars="20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1．</w:t>
      </w:r>
      <w:r>
        <w:rPr>
          <w:rFonts w:hint="eastAsia" w:ascii="仿宋_GB2312" w:hAnsi="仿宋" w:eastAsia="仿宋_GB2312" w:cs="仿宋"/>
          <w:b/>
          <w:sz w:val="32"/>
          <w:szCs w:val="32"/>
        </w:rPr>
        <w:t>开展“广西优质”认证，助推地方特色产业高质量发展。</w:t>
      </w:r>
      <w:r>
        <w:rPr>
          <w:rFonts w:hint="eastAsia" w:ascii="仿宋_GB2312" w:hAnsi="仿宋" w:eastAsia="仿宋_GB2312" w:cs="仿宋"/>
          <w:sz w:val="32"/>
          <w:szCs w:val="32"/>
        </w:rPr>
        <w:t>重点打造白砂糖产品“广西优质”认证，编制白砂糖产品的“广西优质”实施细则和评价方法，组织区内制糖企业开展“广西优质”认证知识培训，并鼓励和帮扶企业开展“广西优质”</w:t>
      </w:r>
      <w:r>
        <w:rPr>
          <w:rFonts w:hint="eastAsia" w:ascii="仿宋_GB2312" w:hAnsi="仿宋" w:eastAsia="仿宋_GB2312" w:cs="仿宋"/>
          <w:kern w:val="0"/>
          <w:sz w:val="32"/>
          <w:szCs w:val="32"/>
        </w:rPr>
        <w:t>认证评价工作，开展“</w:t>
      </w:r>
      <w:r>
        <w:rPr>
          <w:rFonts w:hint="eastAsia" w:ascii="仿宋_GB2312" w:hAnsi="仿宋" w:eastAsia="仿宋_GB2312" w:cs="仿宋"/>
          <w:sz w:val="32"/>
          <w:szCs w:val="32"/>
        </w:rPr>
        <w:t>广西优质”</w:t>
      </w:r>
      <w:r>
        <w:rPr>
          <w:rFonts w:hint="eastAsia" w:ascii="仿宋_GB2312" w:hAnsi="仿宋" w:eastAsia="仿宋_GB2312" w:cs="仿宋"/>
          <w:kern w:val="0"/>
          <w:sz w:val="32"/>
          <w:szCs w:val="32"/>
        </w:rPr>
        <w:t>认证有效性监督检查，</w:t>
      </w:r>
      <w:r>
        <w:rPr>
          <w:rFonts w:hint="eastAsia" w:ascii="仿宋_GB2312" w:hAnsi="宋体" w:eastAsia="仿宋_GB2312"/>
          <w:sz w:val="32"/>
          <w:szCs w:val="32"/>
        </w:rPr>
        <w:t>并在年内实现10家示范性企业的10种产品取得“广西优质”认证证书</w:t>
      </w:r>
      <w:r>
        <w:rPr>
          <w:rFonts w:hint="eastAsia" w:ascii="仿宋_GB2312" w:hAnsi="仿宋_GB2312" w:eastAsia="仿宋_GB2312"/>
          <w:kern w:val="0"/>
          <w:sz w:val="32"/>
          <w:szCs w:val="32"/>
        </w:rPr>
        <w:t>。</w:t>
      </w:r>
      <w:r>
        <w:rPr>
          <w:rFonts w:hint="eastAsia" w:ascii="楷体_GB2312" w:hAnsi="楷体_GB2312" w:eastAsia="楷体_GB2312" w:cs="楷体_GB2312"/>
          <w:b/>
          <w:sz w:val="32"/>
          <w:szCs w:val="32"/>
        </w:rPr>
        <w:t>（责任部门：质检院）</w:t>
      </w:r>
    </w:p>
    <w:p w14:paraId="470D90E2">
      <w:pPr>
        <w:spacing w:line="560" w:lineRule="exact"/>
        <w:ind w:firstLine="643" w:firstLineChars="20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2．开展香港优质“正”印产品认证，助力食糖产业高质量发展。</w:t>
      </w:r>
      <w:r>
        <w:rPr>
          <w:rFonts w:hint="eastAsia" w:ascii="仿宋_GB2312" w:hAnsi="仿宋" w:eastAsia="仿宋_GB2312" w:cs="仿宋"/>
          <w:sz w:val="32"/>
          <w:szCs w:val="32"/>
        </w:rPr>
        <w:t>重点帮扶</w:t>
      </w:r>
      <w:r>
        <w:rPr>
          <w:rFonts w:hint="eastAsia" w:ascii="仿宋_GB2312" w:hAnsi="仿宋" w:eastAsia="仿宋_GB2312" w:cs="仿宋"/>
          <w:kern w:val="0"/>
          <w:sz w:val="32"/>
          <w:szCs w:val="32"/>
        </w:rPr>
        <w:t>广西糖业集团、南宁糖业股份有限公司等8大集团生产的8种产品获得香港优质“正”印认证证书，并通过举办高端认证论坛，邀请国内外行业专家学者实地调研指导等模式，助推我区糖业实现高质量发展，将</w:t>
      </w:r>
      <w:r>
        <w:rPr>
          <w:rFonts w:hint="eastAsia" w:ascii="仿宋_GB2312" w:hAnsi="仿宋" w:eastAsia="仿宋_GB2312" w:cs="仿宋"/>
          <w:sz w:val="32"/>
          <w:szCs w:val="32"/>
        </w:rPr>
        <w:t>我区优质食糖产品销往香港，并通过香港销往海外。</w:t>
      </w:r>
      <w:r>
        <w:rPr>
          <w:rFonts w:hint="eastAsia" w:ascii="楷体_GB2312" w:hAnsi="楷体_GB2312" w:eastAsia="楷体_GB2312" w:cs="楷体_GB2312"/>
          <w:b/>
          <w:sz w:val="32"/>
          <w:szCs w:val="32"/>
        </w:rPr>
        <w:t>（责任部门：质检院）</w:t>
      </w:r>
    </w:p>
    <w:p w14:paraId="1119B03B">
      <w:pPr>
        <w:spacing w:line="560" w:lineRule="exact"/>
        <w:ind w:firstLine="64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3．开展Bonscuro蔗糖体系认证，助力蔗糖产业融入国际高端俱乐部。</w:t>
      </w:r>
      <w:r>
        <w:rPr>
          <w:rFonts w:hint="eastAsia" w:ascii="仿宋_GB2312" w:hAnsi="仿宋" w:eastAsia="仿宋_GB2312" w:cs="仿宋"/>
          <w:sz w:val="32"/>
          <w:szCs w:val="32"/>
        </w:rPr>
        <w:t>重点帮扶我区两家蔗糖示范企业申报Bonscuro蔗糖体系认证，并完成认证申请、技术培训、差距分析等技术帮扶工作，同时</w:t>
      </w:r>
      <w:r>
        <w:rPr>
          <w:rFonts w:hint="eastAsia" w:ascii="仿宋_GB2312" w:hAnsi="仿宋" w:eastAsia="仿宋_GB2312" w:cs="仿宋"/>
          <w:kern w:val="0"/>
          <w:sz w:val="32"/>
          <w:szCs w:val="32"/>
        </w:rPr>
        <w:t>通过举办高端认证论坛，邀请国内外行业专家学者实地调研指导等措施帮扶申请认证</w:t>
      </w:r>
      <w:r>
        <w:rPr>
          <w:rFonts w:hint="eastAsia" w:ascii="仿宋_GB2312" w:hAnsi="仿宋" w:eastAsia="仿宋_GB2312" w:cs="仿宋"/>
          <w:sz w:val="32"/>
          <w:szCs w:val="32"/>
        </w:rPr>
        <w:t>。</w:t>
      </w:r>
      <w:r>
        <w:rPr>
          <w:rFonts w:hint="eastAsia" w:ascii="楷体_GB2312" w:hAnsi="楷体_GB2312" w:eastAsia="楷体_GB2312" w:cs="楷体_GB2312"/>
          <w:b/>
          <w:sz w:val="32"/>
          <w:szCs w:val="32"/>
        </w:rPr>
        <w:t>（责任部门：质检院）</w:t>
      </w:r>
    </w:p>
    <w:p w14:paraId="2CE80803">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（六）优化技术服务，提升企业技术能力水平</w:t>
      </w:r>
    </w:p>
    <w:p w14:paraId="5CC132EE">
      <w:pPr>
        <w:spacing w:line="560" w:lineRule="exact"/>
        <w:ind w:firstLine="643" w:firstLineChars="200"/>
        <w:rPr>
          <w:rFonts w:hint="eastAsia" w:ascii="楷体_GB2312" w:hAnsi="楷体_GB2312" w:eastAsia="楷体_GB2312" w:cs="楷体_GB2312"/>
          <w:b/>
          <w:sz w:val="32"/>
          <w:szCs w:val="32"/>
        </w:rPr>
      </w:pPr>
      <w:r>
        <w:rPr>
          <w:rFonts w:hint="eastAsia" w:ascii="仿宋_GB2312" w:hAnsi="仿宋" w:eastAsia="仿宋_GB2312" w:cs="仿宋"/>
          <w:b/>
          <w:sz w:val="32"/>
          <w:szCs w:val="32"/>
        </w:rPr>
        <w:t>1．开展计量技术服务。</w:t>
      </w:r>
      <w:r>
        <w:rPr>
          <w:rFonts w:hint="eastAsia" w:ascii="仿宋_GB2312" w:hAnsi="仿宋" w:eastAsia="仿宋_GB2312" w:cs="仿宋"/>
          <w:sz w:val="32"/>
          <w:szCs w:val="32"/>
        </w:rPr>
        <w:t>为企业和检测机构的计量器具提供量值溯源服务600台件以上，深入企业现场有针对性地对企业计量人员开展计量培训，指导企业合理选型、配置计量器具，科学运用计量数据帮助企业提升计量技术能力。根据各行业测量管理体系的要求，协助企业的计量管理人员实施计量器具的性能验证、期间核查和计量确认等工作，帮助企业提升计量管理水平。</w:t>
      </w:r>
      <w:r>
        <w:rPr>
          <w:rFonts w:hint="eastAsia" w:ascii="楷体_GB2312" w:hAnsi="楷体_GB2312" w:eastAsia="楷体_GB2312" w:cs="楷体_GB2312"/>
          <w:b/>
          <w:sz w:val="32"/>
          <w:szCs w:val="32"/>
        </w:rPr>
        <w:t>（责任部门：计量院）</w:t>
      </w:r>
    </w:p>
    <w:p w14:paraId="758C6D37">
      <w:pPr>
        <w:spacing w:line="560" w:lineRule="exact"/>
        <w:ind w:firstLine="643" w:firstLineChars="200"/>
        <w:rPr>
          <w:rFonts w:hint="eastAsia" w:ascii="楷体_GB2312" w:hAnsi="楷体_GB2312" w:eastAsia="楷体_GB2312" w:cs="楷体_GB2312"/>
          <w:b/>
          <w:sz w:val="32"/>
          <w:szCs w:val="32"/>
        </w:rPr>
      </w:pPr>
      <w:r>
        <w:rPr>
          <w:rFonts w:hint="eastAsia" w:ascii="仿宋_GB2312" w:hAnsi="仿宋" w:eastAsia="仿宋_GB2312" w:cs="仿宋"/>
          <w:b/>
          <w:bCs/>
          <w:sz w:val="32"/>
          <w:szCs w:val="32"/>
        </w:rPr>
        <w:t>2．</w:t>
      </w:r>
      <w:r>
        <w:rPr>
          <w:rFonts w:hint="eastAsia" w:ascii="仿宋_GB2312" w:hAnsi="宋体" w:eastAsia="仿宋_GB2312"/>
          <w:b/>
          <w:sz w:val="32"/>
          <w:szCs w:val="32"/>
        </w:rPr>
        <w:t>开展企业检验员培训。</w:t>
      </w:r>
      <w:r>
        <w:rPr>
          <w:rFonts w:hint="eastAsia" w:ascii="仿宋_GB2312" w:hAnsi="宋体" w:eastAsia="仿宋_GB2312"/>
          <w:sz w:val="32"/>
          <w:szCs w:val="32"/>
        </w:rPr>
        <w:t>采取企业检验员到广西质检院进行跟班学习以及该院选派在食糖检测上经验丰富的技术人员到企业授课两种方式完成全区食糖企业检验员550人次培训。</w:t>
      </w:r>
      <w:r>
        <w:rPr>
          <w:rFonts w:hint="eastAsia" w:ascii="楷体_GB2312" w:hAnsi="楷体_GB2312" w:eastAsia="楷体_GB2312" w:cs="楷体_GB2312"/>
          <w:b/>
          <w:sz w:val="32"/>
          <w:szCs w:val="32"/>
        </w:rPr>
        <w:t>（责任部门：质检院）</w:t>
      </w:r>
    </w:p>
    <w:p w14:paraId="54AAFD8D">
      <w:pPr>
        <w:spacing w:line="560" w:lineRule="exact"/>
        <w:ind w:firstLine="643" w:firstLineChars="200"/>
        <w:rPr>
          <w:rFonts w:hint="eastAsia" w:ascii="楷体_GB2312" w:hAnsi="楷体_GB2312" w:eastAsia="楷体_GB2312" w:cs="楷体_GB2312"/>
          <w:b/>
          <w:sz w:val="32"/>
          <w:szCs w:val="32"/>
        </w:rPr>
      </w:pPr>
      <w:r>
        <w:rPr>
          <w:rFonts w:hint="eastAsia" w:ascii="仿宋_GB2312" w:hAnsi="宋体" w:eastAsia="仿宋_GB2312"/>
          <w:b/>
          <w:sz w:val="32"/>
          <w:szCs w:val="32"/>
        </w:rPr>
        <w:t>3．召开全国食糖质量分析会议。</w:t>
      </w:r>
      <w:r>
        <w:rPr>
          <w:rFonts w:hint="eastAsia" w:ascii="仿宋_GB2312" w:hAnsi="宋体" w:eastAsia="仿宋_GB2312"/>
          <w:sz w:val="32"/>
          <w:szCs w:val="32"/>
        </w:rPr>
        <w:t>组织召开全国食糖产品质量会议，邀请全国各地制糖企业、业界专家及相关部门领导参加，就国际国内糖业发展新形势及产业现状等展开讨论，让糖企充分了解眼前的挑战与机遇，为促进我区糖业产品质量提升、推动糖业标准化实施、保障食糖产品安全、鼓励质量优秀企业和优秀品牌等方面发挥更大的作用。</w:t>
      </w:r>
      <w:r>
        <w:rPr>
          <w:rFonts w:hint="eastAsia" w:ascii="楷体_GB2312" w:hAnsi="楷体_GB2312" w:eastAsia="楷体_GB2312" w:cs="楷体_GB2312"/>
          <w:b/>
          <w:sz w:val="32"/>
          <w:szCs w:val="32"/>
        </w:rPr>
        <w:t>（责任部门：质检院）</w:t>
      </w:r>
    </w:p>
    <w:p w14:paraId="7CBBBB7E">
      <w:pPr>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三、保障措施</w:t>
      </w:r>
    </w:p>
    <w:p w14:paraId="6093CC01">
      <w:pPr>
        <w:spacing w:line="560" w:lineRule="exact"/>
        <w:ind w:firstLine="643" w:firstLineChars="200"/>
        <w:rPr>
          <w:rFonts w:hint="eastAsia" w:ascii="仿宋_GB2312" w:hAnsi="仿宋" w:eastAsia="仿宋_GB2312" w:cs="仿宋"/>
          <w:bCs/>
          <w:color w:val="000000"/>
          <w:sz w:val="32"/>
          <w:szCs w:val="32"/>
        </w:rPr>
      </w:pPr>
      <w:r>
        <w:rPr>
          <w:rFonts w:hint="eastAsia" w:ascii="楷体_GB2312" w:hAnsi="楷体_GB2312" w:eastAsia="楷体_GB2312" w:cs="楷体_GB2312"/>
          <w:b/>
          <w:color w:val="000000"/>
          <w:kern w:val="0"/>
          <w:sz w:val="32"/>
          <w:szCs w:val="32"/>
        </w:rPr>
        <w:t>（一）加强组织领导，落实工作责任。</w:t>
      </w:r>
      <w:r>
        <w:rPr>
          <w:rFonts w:hint="eastAsia" w:ascii="仿宋_GB2312" w:hAnsi="仿宋" w:eastAsia="仿宋_GB2312" w:cs="仿宋"/>
          <w:bCs/>
          <w:color w:val="000000"/>
          <w:sz w:val="32"/>
          <w:szCs w:val="32"/>
        </w:rPr>
        <w:t>各单位要从促进我区质量强桂、助力我区食糖产业二次创业的高度出发，高度重视产品质量提升行动，结合本部门实际，分解细化目标任务，提出具体落实措施，明确责任部门和责任人，有计划、有步骤地稳步推进各项工作</w:t>
      </w:r>
      <w:r>
        <w:rPr>
          <w:rFonts w:hint="eastAsia" w:ascii="仿宋_GB2312" w:hAnsi="仿宋" w:eastAsia="仿宋_GB2312" w:cs="仿宋"/>
          <w:color w:val="000000"/>
          <w:kern w:val="0"/>
          <w:sz w:val="32"/>
          <w:szCs w:val="32"/>
        </w:rPr>
        <w:t>，确保按时保质完成全年工作任务。</w:t>
      </w:r>
    </w:p>
    <w:p w14:paraId="3AE2C8DF">
      <w:pPr>
        <w:spacing w:line="560" w:lineRule="exact"/>
        <w:ind w:firstLine="643" w:firstLineChars="200"/>
        <w:rPr>
          <w:rFonts w:hint="eastAsia" w:ascii="仿宋_GB2312" w:hAnsi="仿宋" w:eastAsia="仿宋_GB2312" w:cs="仿宋"/>
          <w:bCs/>
          <w:color w:val="000000"/>
          <w:sz w:val="32"/>
          <w:szCs w:val="32"/>
        </w:rPr>
      </w:pPr>
      <w:r>
        <w:rPr>
          <w:rFonts w:hint="eastAsia" w:ascii="楷体_GB2312" w:hAnsi="楷体_GB2312" w:eastAsia="楷体_GB2312" w:cs="楷体_GB2312"/>
          <w:b/>
          <w:color w:val="000000"/>
          <w:kern w:val="0"/>
          <w:sz w:val="32"/>
          <w:szCs w:val="32"/>
        </w:rPr>
        <w:t>（二）加强督查检查，严格目标考核。</w:t>
      </w:r>
      <w:r>
        <w:rPr>
          <w:rFonts w:hint="eastAsia" w:ascii="仿宋_GB2312" w:hAnsi="仿宋" w:eastAsia="仿宋_GB2312" w:cs="仿宋"/>
          <w:bCs/>
          <w:color w:val="000000"/>
          <w:sz w:val="32"/>
          <w:szCs w:val="32"/>
        </w:rPr>
        <w:t>加强对方案实施过程的检查和督促，定期或不定期分析进展情况，解决实施中遇到的问题。同时，各单位要建立落实规划的工作责任制，按照职责分工，对规划的实施情况进行检查考核，保障能力建设规划如期实施。</w:t>
      </w:r>
    </w:p>
    <w:p w14:paraId="172E5CA9">
      <w:pPr>
        <w:spacing w:line="560" w:lineRule="exact"/>
        <w:ind w:firstLine="643" w:firstLineChars="200"/>
        <w:rPr>
          <w:rFonts w:hint="eastAsia" w:ascii="仿宋_GB2312" w:hAnsi="仿宋" w:eastAsia="仿宋_GB2312" w:cs="仿宋"/>
          <w:color w:val="000000"/>
          <w:sz w:val="32"/>
          <w:szCs w:val="32"/>
        </w:rPr>
      </w:pPr>
      <w:r>
        <w:rPr>
          <w:rFonts w:hint="eastAsia" w:ascii="楷体_GB2312" w:hAnsi="楷体_GB2312" w:eastAsia="楷体_GB2312" w:cs="楷体_GB2312"/>
          <w:b/>
          <w:color w:val="000000"/>
          <w:kern w:val="0"/>
          <w:sz w:val="32"/>
          <w:szCs w:val="32"/>
        </w:rPr>
        <w:t>（三）严肃工作纪律，保证工作效率。</w:t>
      </w:r>
      <w:r>
        <w:rPr>
          <w:rFonts w:hint="eastAsia" w:ascii="仿宋_GB2312" w:hAnsi="仿宋" w:eastAsia="仿宋_GB2312" w:cs="仿宋"/>
          <w:color w:val="000000"/>
          <w:sz w:val="32"/>
          <w:szCs w:val="32"/>
        </w:rPr>
        <w:t>要根据预算资金的项目安排，及时、足额、高效地投入到质量提升行动中。同时要做到专款专用，严格按规定管理和使用，并接受上级的监督检查。</w:t>
      </w:r>
    </w:p>
    <w:sectPr>
      <w:footerReference r:id="rId3" w:type="default"/>
      <w:pgSz w:w="11906" w:h="16838"/>
      <w:pgMar w:top="1701"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0BDA1A-2937-4863-942C-D712E966DE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47CFD72-CE30-4FBA-B186-CA62AD099EB2}"/>
  </w:font>
  <w:font w:name="方正小标宋简体">
    <w:panose1 w:val="02000000000000000000"/>
    <w:charset w:val="86"/>
    <w:family w:val="auto"/>
    <w:pitch w:val="default"/>
    <w:sig w:usb0="00000001" w:usb1="08000000" w:usb2="00000000" w:usb3="00000000" w:csb0="00040000" w:csb1="00000000"/>
    <w:embedRegular r:id="rId3" w:fontKey="{099C508C-888B-4691-AD7F-3A55AFCBF2CF}"/>
  </w:font>
  <w:font w:name="仿宋_GB2312">
    <w:altName w:val="仿宋"/>
    <w:panose1 w:val="02010609030101010101"/>
    <w:charset w:val="86"/>
    <w:family w:val="modern"/>
    <w:pitch w:val="default"/>
    <w:sig w:usb0="00000000" w:usb1="00000000" w:usb2="00000010" w:usb3="00000000" w:csb0="00040000" w:csb1="00000000"/>
    <w:embedRegular r:id="rId4" w:fontKey="{D486EAE0-7D22-48B7-A495-05EFCD75D5F5}"/>
  </w:font>
  <w:font w:name="楷体_GB2312">
    <w:altName w:val="楷体"/>
    <w:panose1 w:val="02010609030101010101"/>
    <w:charset w:val="86"/>
    <w:family w:val="modern"/>
    <w:pitch w:val="default"/>
    <w:sig w:usb0="00000000" w:usb1="00000000" w:usb2="00000010" w:usb3="00000000" w:csb0="00040000" w:csb1="00000000"/>
    <w:embedRegular r:id="rId5" w:fontKey="{F47986CC-FAA6-49F4-8896-BCE6F8F63D9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71FC">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F7EAE6">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0F7EAE6">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C7740"/>
    <w:rsid w:val="00014787"/>
    <w:rsid w:val="00024BE4"/>
    <w:rsid w:val="0002610F"/>
    <w:rsid w:val="00033CC0"/>
    <w:rsid w:val="00052185"/>
    <w:rsid w:val="00065891"/>
    <w:rsid w:val="00066A64"/>
    <w:rsid w:val="00077B7F"/>
    <w:rsid w:val="00095F26"/>
    <w:rsid w:val="000A5CDE"/>
    <w:rsid w:val="000B5CC4"/>
    <w:rsid w:val="000B68EA"/>
    <w:rsid w:val="000E1D09"/>
    <w:rsid w:val="000F4917"/>
    <w:rsid w:val="001066C0"/>
    <w:rsid w:val="00110293"/>
    <w:rsid w:val="00111FC6"/>
    <w:rsid w:val="001159C5"/>
    <w:rsid w:val="001211BE"/>
    <w:rsid w:val="00145CBB"/>
    <w:rsid w:val="00147FAF"/>
    <w:rsid w:val="00167824"/>
    <w:rsid w:val="00193D9F"/>
    <w:rsid w:val="001A08DC"/>
    <w:rsid w:val="001B6116"/>
    <w:rsid w:val="001C2D01"/>
    <w:rsid w:val="001E5F0B"/>
    <w:rsid w:val="001F0024"/>
    <w:rsid w:val="00245F0B"/>
    <w:rsid w:val="002760F7"/>
    <w:rsid w:val="002810E7"/>
    <w:rsid w:val="002827C0"/>
    <w:rsid w:val="00282B1B"/>
    <w:rsid w:val="00282BDB"/>
    <w:rsid w:val="002A5450"/>
    <w:rsid w:val="002E32C4"/>
    <w:rsid w:val="0033140C"/>
    <w:rsid w:val="00347AF5"/>
    <w:rsid w:val="00370C22"/>
    <w:rsid w:val="003A7A39"/>
    <w:rsid w:val="003E01D7"/>
    <w:rsid w:val="003E41D2"/>
    <w:rsid w:val="003E6C7C"/>
    <w:rsid w:val="003F0132"/>
    <w:rsid w:val="003F18B8"/>
    <w:rsid w:val="003F7ECA"/>
    <w:rsid w:val="00412ED3"/>
    <w:rsid w:val="00423661"/>
    <w:rsid w:val="0048653C"/>
    <w:rsid w:val="004872DE"/>
    <w:rsid w:val="004A56B1"/>
    <w:rsid w:val="004D0082"/>
    <w:rsid w:val="004D3F52"/>
    <w:rsid w:val="004E702D"/>
    <w:rsid w:val="00536D3D"/>
    <w:rsid w:val="00540959"/>
    <w:rsid w:val="00584B26"/>
    <w:rsid w:val="00593009"/>
    <w:rsid w:val="00594108"/>
    <w:rsid w:val="005B362C"/>
    <w:rsid w:val="005C1258"/>
    <w:rsid w:val="005C5148"/>
    <w:rsid w:val="005D093B"/>
    <w:rsid w:val="005F000E"/>
    <w:rsid w:val="00602F77"/>
    <w:rsid w:val="00617966"/>
    <w:rsid w:val="006210D4"/>
    <w:rsid w:val="00624842"/>
    <w:rsid w:val="00631FEE"/>
    <w:rsid w:val="00667A57"/>
    <w:rsid w:val="006938E5"/>
    <w:rsid w:val="006A379B"/>
    <w:rsid w:val="006A6341"/>
    <w:rsid w:val="006B59F7"/>
    <w:rsid w:val="006C08DC"/>
    <w:rsid w:val="006C287A"/>
    <w:rsid w:val="00702590"/>
    <w:rsid w:val="00713178"/>
    <w:rsid w:val="007145AE"/>
    <w:rsid w:val="00756116"/>
    <w:rsid w:val="00766314"/>
    <w:rsid w:val="00776C42"/>
    <w:rsid w:val="00776F5B"/>
    <w:rsid w:val="00780A5B"/>
    <w:rsid w:val="007A512D"/>
    <w:rsid w:val="008001FA"/>
    <w:rsid w:val="008257CC"/>
    <w:rsid w:val="0084236D"/>
    <w:rsid w:val="008512D8"/>
    <w:rsid w:val="00863BDB"/>
    <w:rsid w:val="0086785E"/>
    <w:rsid w:val="008827F1"/>
    <w:rsid w:val="008965D2"/>
    <w:rsid w:val="008B00D2"/>
    <w:rsid w:val="008E0A04"/>
    <w:rsid w:val="00920A66"/>
    <w:rsid w:val="009469FD"/>
    <w:rsid w:val="0094728D"/>
    <w:rsid w:val="00974554"/>
    <w:rsid w:val="00977759"/>
    <w:rsid w:val="00990296"/>
    <w:rsid w:val="009A3534"/>
    <w:rsid w:val="009E44C9"/>
    <w:rsid w:val="00A01E73"/>
    <w:rsid w:val="00A20216"/>
    <w:rsid w:val="00A53409"/>
    <w:rsid w:val="00AB1AE8"/>
    <w:rsid w:val="00AD7A7F"/>
    <w:rsid w:val="00AF4ED0"/>
    <w:rsid w:val="00B14A6D"/>
    <w:rsid w:val="00B37E78"/>
    <w:rsid w:val="00BD73DA"/>
    <w:rsid w:val="00BF0188"/>
    <w:rsid w:val="00BF74C0"/>
    <w:rsid w:val="00C14CE4"/>
    <w:rsid w:val="00C208E8"/>
    <w:rsid w:val="00C3210A"/>
    <w:rsid w:val="00C36FC1"/>
    <w:rsid w:val="00C521BF"/>
    <w:rsid w:val="00C52DDA"/>
    <w:rsid w:val="00C83D61"/>
    <w:rsid w:val="00CB03B2"/>
    <w:rsid w:val="00CB74E6"/>
    <w:rsid w:val="00CC09CF"/>
    <w:rsid w:val="00CD00BC"/>
    <w:rsid w:val="00D1336E"/>
    <w:rsid w:val="00D81E47"/>
    <w:rsid w:val="00D95D04"/>
    <w:rsid w:val="00DC50B3"/>
    <w:rsid w:val="00DF1489"/>
    <w:rsid w:val="00DF2E8C"/>
    <w:rsid w:val="00ED2609"/>
    <w:rsid w:val="00ED741D"/>
    <w:rsid w:val="00EF6AD8"/>
    <w:rsid w:val="00F16C49"/>
    <w:rsid w:val="00F505F3"/>
    <w:rsid w:val="00F55655"/>
    <w:rsid w:val="00F70CD6"/>
    <w:rsid w:val="00F75279"/>
    <w:rsid w:val="00FD6387"/>
    <w:rsid w:val="00FE6B54"/>
    <w:rsid w:val="016A4425"/>
    <w:rsid w:val="016E398B"/>
    <w:rsid w:val="02DD0651"/>
    <w:rsid w:val="08C67AB4"/>
    <w:rsid w:val="0AD45F17"/>
    <w:rsid w:val="11032BA5"/>
    <w:rsid w:val="11804752"/>
    <w:rsid w:val="12876C91"/>
    <w:rsid w:val="143057B7"/>
    <w:rsid w:val="14851892"/>
    <w:rsid w:val="186C001B"/>
    <w:rsid w:val="1907548F"/>
    <w:rsid w:val="1EDB50E5"/>
    <w:rsid w:val="206451A6"/>
    <w:rsid w:val="21853EED"/>
    <w:rsid w:val="21EF3618"/>
    <w:rsid w:val="23793877"/>
    <w:rsid w:val="25FA2C54"/>
    <w:rsid w:val="264424D6"/>
    <w:rsid w:val="274C5126"/>
    <w:rsid w:val="2D887BA6"/>
    <w:rsid w:val="33474D47"/>
    <w:rsid w:val="335F059A"/>
    <w:rsid w:val="34EB3242"/>
    <w:rsid w:val="3A0F3097"/>
    <w:rsid w:val="3D642233"/>
    <w:rsid w:val="3F6F6C08"/>
    <w:rsid w:val="3F9520A0"/>
    <w:rsid w:val="419B7916"/>
    <w:rsid w:val="44536E22"/>
    <w:rsid w:val="445B44B7"/>
    <w:rsid w:val="4665754D"/>
    <w:rsid w:val="46785FF9"/>
    <w:rsid w:val="46FB3880"/>
    <w:rsid w:val="49825F6A"/>
    <w:rsid w:val="4BD41796"/>
    <w:rsid w:val="4E0C7740"/>
    <w:rsid w:val="4F7967CA"/>
    <w:rsid w:val="4F8767B7"/>
    <w:rsid w:val="50F513D7"/>
    <w:rsid w:val="517A73F6"/>
    <w:rsid w:val="52223DD8"/>
    <w:rsid w:val="545A26DB"/>
    <w:rsid w:val="54AE4F27"/>
    <w:rsid w:val="58950F6A"/>
    <w:rsid w:val="58B06627"/>
    <w:rsid w:val="5BBA701E"/>
    <w:rsid w:val="5ED5594D"/>
    <w:rsid w:val="608B0F54"/>
    <w:rsid w:val="63790EC7"/>
    <w:rsid w:val="63D3280E"/>
    <w:rsid w:val="6C991BE4"/>
    <w:rsid w:val="6DC423DD"/>
    <w:rsid w:val="72E91BD8"/>
    <w:rsid w:val="743C5820"/>
    <w:rsid w:val="755B1C4B"/>
    <w:rsid w:val="78616E0A"/>
    <w:rsid w:val="7A400CC0"/>
    <w:rsid w:val="7BCA39A0"/>
    <w:rsid w:val="7F951C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ocument Map"/>
    <w:basedOn w:val="1"/>
    <w:link w:val="14"/>
    <w:semiHidden/>
    <w:qFormat/>
    <w:uiPriority w:val="0"/>
    <w:pPr>
      <w:shd w:val="clear" w:color="auto" w:fill="000080"/>
    </w:pPr>
    <w:rPr>
      <w:szCs w:val="21"/>
    </w:rPr>
  </w:style>
  <w:style w:type="paragraph" w:styleId="3">
    <w:name w:val="Body Text Indent"/>
    <w:basedOn w:val="1"/>
    <w:link w:val="19"/>
    <w:qFormat/>
    <w:uiPriority w:val="0"/>
    <w:pPr>
      <w:spacing w:after="120"/>
      <w:ind w:left="420" w:leftChars="200"/>
    </w:pPr>
    <w:rPr>
      <w:rFonts w:ascii="Times New Roman" w:hAnsi="Times New Roman"/>
    </w:rPr>
  </w:style>
  <w:style w:type="paragraph" w:styleId="4">
    <w:name w:val="Balloon Text"/>
    <w:basedOn w:val="1"/>
    <w:link w:val="18"/>
    <w:semiHidden/>
    <w:qFormat/>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0">
    <w:name w:val="page number"/>
    <w:uiPriority w:val="0"/>
  </w:style>
  <w:style w:type="character" w:styleId="11">
    <w:name w:val="Emphasis"/>
    <w:qFormat/>
    <w:uiPriority w:val="0"/>
    <w:rPr>
      <w:rFonts w:cs="Times New Roman"/>
      <w:color w:val="CC0000"/>
      <w:sz w:val="24"/>
    </w:rPr>
  </w:style>
  <w:style w:type="character" w:styleId="12">
    <w:name w:val="Hyperlink"/>
    <w:uiPriority w:val="0"/>
    <w:rPr>
      <w:color w:val="22337D"/>
      <w:u w:val="none"/>
    </w:rPr>
  </w:style>
  <w:style w:type="paragraph" w:customStyle="1" w:styleId="13">
    <w:name w:val="Normal"/>
    <w:qFormat/>
    <w:uiPriority w:val="0"/>
    <w:pPr>
      <w:jc w:val="both"/>
    </w:pPr>
    <w:rPr>
      <w:rFonts w:ascii="仿宋" w:hAnsi="仿宋" w:eastAsia="宋体" w:cs="宋体"/>
      <w:kern w:val="2"/>
      <w:sz w:val="21"/>
      <w:szCs w:val="21"/>
      <w:lang w:val="en-US" w:eastAsia="zh-CN" w:bidi="ar-SA"/>
    </w:rPr>
  </w:style>
  <w:style w:type="character" w:customStyle="1" w:styleId="14">
    <w:name w:val=" Char Char4"/>
    <w:link w:val="2"/>
    <w:semiHidden/>
    <w:uiPriority w:val="0"/>
    <w:rPr>
      <w:kern w:val="2"/>
      <w:sz w:val="21"/>
      <w:szCs w:val="21"/>
      <w:shd w:val="clear" w:color="auto" w:fill="000080"/>
    </w:rPr>
  </w:style>
  <w:style w:type="character" w:customStyle="1" w:styleId="15">
    <w:name w:val=" Char Char2"/>
    <w:link w:val="5"/>
    <w:uiPriority w:val="0"/>
    <w:rPr>
      <w:kern w:val="2"/>
      <w:sz w:val="18"/>
      <w:szCs w:val="18"/>
    </w:rPr>
  </w:style>
  <w:style w:type="character" w:customStyle="1" w:styleId="16">
    <w:name w:val=" Char Char3"/>
    <w:link w:val="6"/>
    <w:uiPriority w:val="0"/>
    <w:rPr>
      <w:kern w:val="2"/>
      <w:sz w:val="18"/>
      <w:szCs w:val="18"/>
    </w:rPr>
  </w:style>
  <w:style w:type="character" w:customStyle="1" w:styleId="17">
    <w:name w:val="15"/>
    <w:uiPriority w:val="0"/>
    <w:rPr>
      <w:rFonts w:hint="eastAsia" w:ascii="仿宋" w:hAnsi="仿宋" w:eastAsia="仿宋" w:cs="Times New Roman"/>
      <w:b/>
      <w:bCs/>
    </w:rPr>
  </w:style>
  <w:style w:type="character" w:customStyle="1" w:styleId="18">
    <w:name w:val=" Char Char1"/>
    <w:link w:val="4"/>
    <w:semiHidden/>
    <w:uiPriority w:val="0"/>
    <w:rPr>
      <w:kern w:val="2"/>
      <w:sz w:val="18"/>
      <w:szCs w:val="18"/>
    </w:rPr>
  </w:style>
  <w:style w:type="character" w:customStyle="1" w:styleId="19">
    <w:name w:val=" Char Char"/>
    <w:link w:val="3"/>
    <w:uiPriority w:val="0"/>
    <w:rPr>
      <w:rFonts w:ascii="Times New Roman" w:hAnsi="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172.26.130.129\OAIII_I\201909\&#40644;&#39134;&#38634;20190918113410\&#27491;&#25991;&#38468;&#20214;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正文附件1.doc</Template>
  <Pages>8</Pages>
  <Words>4150</Words>
  <Characters>4220</Characters>
  <Lines>30</Lines>
  <Paragraphs>8</Paragraphs>
  <TotalTime>1</TotalTime>
  <ScaleCrop>false</ScaleCrop>
  <LinksUpToDate>false</LinksUpToDate>
  <CharactersWithSpaces>4228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2020-12-02T11:30:00Z</dcterms:created>
  <dc:creator>雷海玲</dc:creator>
  <cp:lastModifiedBy>李平波</cp:lastModifiedBy>
  <dcterms:modified xsi:type="dcterms:W3CDTF">2025-01-10T03:22:45Z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eyJoZGlkIjoiMWY3YTRjYTNhMmM3NmQzYzJiNzBmMmY3ZjY3Njg2ZGMiLCJ1c2VySWQiOiI2NjYyNjI0OTgifQ==</vt:lpwstr>
  </property>
  <property fmtid="{D5CDD505-2E9C-101B-9397-08002B2CF9AE}" pid="4" name="ICV">
    <vt:lpwstr>C854EA7183B64437B775EFCD0D8F38C1_13</vt:lpwstr>
  </property>
</Properties>
</file>