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left="0" w:right="0" w:firstLine="0"/>
        <w:jc w:val="both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left="0" w:right="0" w:firstLine="0"/>
        <w:jc w:val="center"/>
        <w:outlineLvl w:val="9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</w:rPr>
      </w:pPr>
      <w:bookmarkStart w:id="0" w:name="_GoBack"/>
      <w:r>
        <w:rPr>
          <w:rFonts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专项整治情况统计表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94" w:lineRule="atLeast"/>
        <w:ind w:left="0" w:right="0" w:firstLine="0"/>
        <w:jc w:val="both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u w:val="single"/>
        </w:rPr>
      </w:pPr>
      <w:r>
        <w:rPr>
          <w:rFonts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报送单位（盖章）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                          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       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        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　  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联系电话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</w:t>
      </w:r>
    </w:p>
    <w:tbl>
      <w:tblPr>
        <w:tblStyle w:val="4"/>
        <w:tblW w:w="1297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215"/>
        <w:gridCol w:w="888"/>
        <w:gridCol w:w="980"/>
        <w:gridCol w:w="766"/>
        <w:gridCol w:w="942"/>
        <w:gridCol w:w="976"/>
        <w:gridCol w:w="976"/>
        <w:gridCol w:w="859"/>
        <w:gridCol w:w="858"/>
        <w:gridCol w:w="900"/>
        <w:gridCol w:w="766"/>
        <w:gridCol w:w="917"/>
        <w:gridCol w:w="9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61" w:right="-61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环节</w:t>
            </w:r>
          </w:p>
        </w:tc>
        <w:tc>
          <w:tcPr>
            <w:tcW w:w="8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61" w:right="-61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检查单位数（家）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40" w:right="-6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发现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40" w:right="-6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问题数（家）</w:t>
            </w:r>
          </w:p>
        </w:tc>
        <w:tc>
          <w:tcPr>
            <w:tcW w:w="7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问题类型</w:t>
            </w:r>
          </w:p>
        </w:tc>
        <w:tc>
          <w:tcPr>
            <w:tcW w:w="9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61" w:right="-6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抽检样品（批次）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63" w:right="-84" w:hanging="1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不合格数（批次）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不合格项目</w:t>
            </w:r>
          </w:p>
        </w:tc>
        <w:tc>
          <w:tcPr>
            <w:tcW w:w="8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61" w:right="-8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责令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61" w:right="-8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整改（家）</w:t>
            </w:r>
          </w:p>
        </w:tc>
        <w:tc>
          <w:tcPr>
            <w:tcW w:w="8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61" w:right="-86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责令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61" w:right="-86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停产（家）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立案查处（起）</w:t>
            </w:r>
          </w:p>
        </w:tc>
        <w:tc>
          <w:tcPr>
            <w:tcW w:w="7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61" w:right="-6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罚没款（万元）</w:t>
            </w:r>
          </w:p>
        </w:tc>
        <w:tc>
          <w:tcPr>
            <w:tcW w:w="9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61" w:right="-7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吊销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61" w:right="-7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许可证（张）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82" w:right="-9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移送公安（件）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19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食品生产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101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食品经营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19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食品生产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1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食品经营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19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食品生产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1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食品经营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19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食品生产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1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食品经营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19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食品生产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1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食品经营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19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食品生产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食品经营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1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注：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类别指食品生产经营许可类别，可具体到类别名称，如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0606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固体饮料。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line="400" w:lineRule="exact"/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  2.问题类型指非法添加、虚假宣传、违规销售、标签违法等。</w:t>
      </w:r>
    </w:p>
    <w:sectPr>
      <w:pgSz w:w="16838" w:h="11905" w:orient="landscape"/>
      <w:pgMar w:top="1587" w:right="2098" w:bottom="1474" w:left="1984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D6182"/>
    <w:rsid w:val="566D61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2020-05-22T10:06:00Z</dcterms:created>
  <dc:creator>秦时明月</dc:creator>
  <cp:lastModifiedBy>秦时明月</cp:lastModifiedBy>
  <dcterms:modified xsi:type="dcterms:W3CDTF">2020-05-22T10:06:54Z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