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2"/>
        <w:tblpPr w:leftFromText="180" w:rightFromText="180" w:vertAnchor="text" w:horzAnchor="margin" w:tblpXSpec="center" w:tblpY="94"/>
        <w:tblW w:w="143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977"/>
        <w:gridCol w:w="1089"/>
        <w:gridCol w:w="328"/>
      </w:tblGrid>
      <w:tr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桂林市都美食品厂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桂林市秀峰区甲山办事处官桥村委会龙泉村5-9号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桂平市天天岛内价购物商场有限责任公司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广西桂平市西山镇桂南路兴宁街宏辉商厦内1-3层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都美藕粉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都美漓江及图形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2020-04-10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4.9×10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6.0×10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3.1×10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3.1×10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3.3×10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广西—东盟食品检验检测中心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桂林市都美食品厂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桂林市秀峰区甲山办事处官桥村委会龙泉村5-9号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桂平市天天岛内价购物商场有限责任公司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广西桂平市西山镇桂南路兴宁街宏辉商厦内1-3层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马蹄粉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200克/盒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都美漓江及图形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2020-04-10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3.0×10²CFU/g，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1.5×10³CFU/g，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3.1×10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6.2×10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3.3×10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广西—东盟食品检验检测中心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广西象州山野百合粉加工厂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广西象州县象州镇东园路一巷3号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来宾市景程商贸有限责任公司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来宾市柳来路112号(农行对面)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山野百合粉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250克/袋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韦老壮及图形商标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2019-08-02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菌落总数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1.7×10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1.5×10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3.1×10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y </w:t>
            </w:r>
            <w:r>
              <w:rPr>
                <w:rFonts w:eastAsia="仿宋_GB2312"/>
                <w:color w:val="000000"/>
                <w:sz w:val="22"/>
                <w:szCs w:val="22"/>
              </w:rPr>
              <w:t>1.2×10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3.4×10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⁴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CFU/g，M=10</w:t>
            </w:r>
            <w:r>
              <w:rPr>
                <w:rFonts w:ascii="Cambria Math" w:hAnsi="Cambria Math" w:eastAsia="微软雅黑" w:cs="Cambria Math"/>
                <w:color w:val="000000"/>
                <w:sz w:val="22"/>
                <w:szCs w:val="22"/>
              </w:rPr>
              <w:t>⁵</w:t>
            </w:r>
            <w:r>
              <w:rPr>
                <w:rFonts w:eastAsia="仿宋_GB2312"/>
                <w:color w:val="000000"/>
                <w:sz w:val="22"/>
                <w:szCs w:val="22"/>
              </w:rPr>
              <w:t>CFU/g；大肠菌群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</w:t>
            </w:r>
            <w:r>
              <w:rPr>
                <w:rFonts w:eastAsia="仿宋_GB2312"/>
                <w:color w:val="000000"/>
                <w:sz w:val="22"/>
                <w:szCs w:val="22"/>
              </w:rPr>
              <w:t>2.1×10²CFU/g，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②</w:t>
            </w:r>
            <w:r>
              <w:rPr>
                <w:rFonts w:eastAsia="仿宋_GB2312"/>
                <w:color w:val="000000"/>
                <w:sz w:val="22"/>
                <w:szCs w:val="22"/>
              </w:rPr>
              <w:t>1.2×10²CFU/g，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③</w:t>
            </w:r>
            <w:r>
              <w:rPr>
                <w:rFonts w:eastAsia="仿宋_GB2312"/>
                <w:color w:val="000000"/>
                <w:sz w:val="22"/>
                <w:szCs w:val="22"/>
              </w:rPr>
              <w:t>66CFU/g，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④</w:t>
            </w:r>
            <w:r>
              <w:rPr>
                <w:rFonts w:eastAsia="仿宋_GB2312"/>
                <w:color w:val="000000"/>
                <w:sz w:val="22"/>
                <w:szCs w:val="22"/>
              </w:rPr>
              <w:t>75CFU/g，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⑤</w:t>
            </w:r>
            <w:r>
              <w:rPr>
                <w:rFonts w:eastAsia="仿宋_GB2312"/>
                <w:color w:val="000000"/>
                <w:sz w:val="22"/>
                <w:szCs w:val="22"/>
              </w:rPr>
              <w:t>1.8×10²CFU/g</w:t>
            </w:r>
            <w:r>
              <w:rPr>
                <w:rFonts w:eastAsia="微软雅黑"/>
                <w:color w:val="000000"/>
                <w:sz w:val="22"/>
                <w:szCs w:val="22"/>
              </w:rPr>
              <w:t>║</w:t>
            </w:r>
            <w:r>
              <w:rPr>
                <w:rFonts w:eastAsia="仿宋_GB2312"/>
                <w:color w:val="000000"/>
                <w:sz w:val="22"/>
                <w:szCs w:val="22"/>
              </w:rPr>
              <w:t>n=5，c=2，m=10²CFU/g，M=10³CFU/g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广西—东盟食品检验检测中心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2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2020-09-03T02:51:09Z</dcterms:created>
  <dc:creator>Administrator</dc:creator>
  <cp:lastModifiedBy>Administrator</cp:lastModifiedBy>
  <dcterms:modified xsi:type="dcterms:W3CDTF">2020-09-03T02:51:23Z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