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仿宋_GB2312" w:cs="Times New Roman"/>
          <w:sz w:val="32"/>
          <w:szCs w:val="32"/>
        </w:rPr>
      </w:pPr>
      <w:r>
        <w:rPr>
          <w:rFonts w:hint="default" w:ascii="Times New Roman" w:hAnsi="Times New Roman" w:eastAsia="黑体" w:cs="Times New Roman"/>
          <w:sz w:val="32"/>
          <w:szCs w:val="32"/>
        </w:rPr>
        <w:t>附件</w:t>
      </w:r>
      <w:r>
        <w:rPr>
          <w:rFonts w:ascii="Times New Roman" w:hAnsi="Times New Roman" w:eastAsia="仿宋_GB2312" w:cs="Times New Roman"/>
          <w:sz w:val="32"/>
          <w:szCs w:val="32"/>
        </w:rPr>
        <w:t>3</w:t>
      </w:r>
    </w:p>
    <w:p>
      <w:pPr>
        <w:spacing w:line="240" w:lineRule="exact"/>
        <w:jc w:val="center"/>
        <w:rPr>
          <w:rFonts w:ascii="Times New Roman" w:hAnsi="Times New Roman" w:eastAsia="仿宋_GB2312"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不合格检验项目说明</w:t>
      </w:r>
    </w:p>
    <w:p>
      <w:pPr>
        <w:spacing w:line="240" w:lineRule="exact"/>
        <w:rPr>
          <w:rFonts w:ascii="Times New Roman" w:hAnsi="Times New Roman" w:eastAsia="仿宋_GB2312" w:cs="Times New Roman"/>
          <w:sz w:val="32"/>
          <w:szCs w:val="32"/>
          <w:lang w:bidi="ar"/>
        </w:rPr>
      </w:pPr>
    </w:p>
    <w:p>
      <w:pPr>
        <w:spacing w:line="540" w:lineRule="exact"/>
        <w:ind w:firstLine="640" w:firstLineChars="200"/>
        <w:rPr>
          <w:rFonts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一</w:t>
      </w:r>
      <w:r>
        <w:rPr>
          <w:rFonts w:ascii="Times New Roman" w:hAnsi="Times New Roman" w:eastAsia="黑体" w:cs="Times New Roman"/>
          <w:sz w:val="32"/>
          <w:szCs w:val="32"/>
          <w:lang w:bidi="ar"/>
        </w:rPr>
        <w:t>、</w:t>
      </w:r>
      <w:r>
        <w:rPr>
          <w:rFonts w:hint="default" w:ascii="Times New Roman" w:hAnsi="Times New Roman" w:eastAsia="黑体" w:cs="Times New Roman"/>
          <w:sz w:val="32"/>
          <w:szCs w:val="32"/>
          <w:lang w:bidi="ar"/>
        </w:rPr>
        <w:t>铝的残留量</w:t>
      </w:r>
    </w:p>
    <w:p>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硫酸铝钾（又名钾明矾）、硫酸铝铵（又名铵明矾）是食品加工中常用的食品添加剂，使用后会产生铝残留。含铝食品添加剂可用作膨松剂、稳定剂、中和剂和</w:t>
      </w:r>
      <w:r>
        <w:rPr>
          <w:rFonts w:ascii="Times New Roman" w:hAnsi="Times New Roman" w:eastAsia="仿宋_GB2312" w:cs="Times New Roman"/>
          <w:sz w:val="32"/>
          <w:szCs w:val="32"/>
          <w:lang w:bidi="ar"/>
        </w:rPr>
        <w:t>固化剂</w:t>
      </w:r>
      <w:r>
        <w:rPr>
          <w:rFonts w:hint="default" w:ascii="Times New Roman" w:hAnsi="Times New Roman" w:eastAsia="仿宋_GB2312" w:cs="Times New Roman"/>
          <w:sz w:val="32"/>
          <w:szCs w:val="32"/>
          <w:lang w:bidi="ar"/>
        </w:rPr>
        <w:t>等，很多国家如美国、欧盟成员国、澳洲、新西兰、日本和我国等都允许使用含铝食品添加剂。《食品安全国家标准 食品添加剂使用标准》（GB 2760—2014）中规定，硫酸铝钾、硫酸铝铵作为膨松剂、稳定剂可按</w:t>
      </w:r>
      <w:r>
        <w:rPr>
          <w:rFonts w:ascii="Times New Roman" w:hAnsi="Times New Roman" w:eastAsia="仿宋_GB2312" w:cs="Times New Roman"/>
          <w:sz w:val="32"/>
          <w:szCs w:val="32"/>
          <w:lang w:bidi="ar"/>
        </w:rPr>
        <w:t>生产需要适量使用于油炸面制品，</w:t>
      </w:r>
      <w:r>
        <w:rPr>
          <w:rFonts w:hint="default" w:ascii="Times New Roman" w:hAnsi="Times New Roman" w:eastAsia="仿宋_GB2312" w:cs="Times New Roman"/>
          <w:sz w:val="32"/>
          <w:szCs w:val="32"/>
          <w:lang w:bidi="ar"/>
        </w:rPr>
        <w:t>铝的残留量(干样品，以Al计)≤100mg/kg。长期摄入铝残留超标的食品，可能影响人体对铁、钙等营养元素的吸收，从而导致骨质疏松、贫血等，甚至影响神经细胞的发育。</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本次监督抽检发现有</w:t>
      </w:r>
      <w:r>
        <w:rPr>
          <w:rFonts w:hint="default" w:ascii="Times New Roman" w:hAnsi="Times New Roman" w:eastAsia="仿宋_GB2312" w:cs="Times New Roman"/>
          <w:sz w:val="32"/>
          <w:szCs w:val="32"/>
          <w:lang w:val="en-US" w:eastAsia="zh-CN" w:bidi="ar"/>
        </w:rPr>
        <w:t>2</w:t>
      </w:r>
      <w:r>
        <w:rPr>
          <w:rFonts w:ascii="Times New Roman" w:hAnsi="Times New Roman" w:eastAsia="仿宋_GB2312" w:cs="Times New Roman"/>
          <w:sz w:val="32"/>
          <w:szCs w:val="32"/>
          <w:lang w:bidi="ar"/>
        </w:rPr>
        <w:t>批次</w:t>
      </w:r>
      <w:r>
        <w:rPr>
          <w:rFonts w:hint="default" w:ascii="Times New Roman" w:hAnsi="Times New Roman" w:eastAsia="仿宋_GB2312" w:cs="Times New Roman"/>
          <w:sz w:val="32"/>
          <w:szCs w:val="32"/>
          <w:lang w:bidi="ar"/>
        </w:rPr>
        <w:t>油炸面制品(自制)</w:t>
      </w:r>
      <w:r>
        <w:rPr>
          <w:rFonts w:ascii="Times New Roman" w:hAnsi="Times New Roman" w:eastAsia="仿宋_GB2312" w:cs="Times New Roman"/>
          <w:sz w:val="32"/>
          <w:szCs w:val="32"/>
          <w:lang w:bidi="ar"/>
        </w:rPr>
        <w:t>样品</w:t>
      </w:r>
      <w:r>
        <w:rPr>
          <w:rFonts w:hint="default" w:ascii="Times New Roman" w:hAnsi="Times New Roman" w:eastAsia="仿宋_GB2312" w:cs="Times New Roman"/>
          <w:sz w:val="32"/>
          <w:szCs w:val="32"/>
          <w:lang w:bidi="ar"/>
        </w:rPr>
        <w:t>铝的残留量(干样品，以Al计)超标，原因可能是生产者为改善产品口感，在生产加工过程中超限量使用含铝添加剂，或者其使用的复配添加剂中铝含量过高。</w:t>
      </w:r>
    </w:p>
    <w:p>
      <w:pPr>
        <w:spacing w:line="540" w:lineRule="exact"/>
        <w:ind w:firstLine="640" w:firstLineChars="200"/>
        <w:rPr>
          <w:rFonts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二</w:t>
      </w:r>
      <w:r>
        <w:rPr>
          <w:rFonts w:ascii="Times New Roman" w:hAnsi="Times New Roman" w:eastAsia="黑体" w:cs="Times New Roman"/>
          <w:sz w:val="32"/>
          <w:szCs w:val="32"/>
          <w:lang w:bidi="ar"/>
        </w:rPr>
        <w:t>、</w:t>
      </w:r>
      <w:r>
        <w:rPr>
          <w:rFonts w:hint="default" w:ascii="Times New Roman" w:hAnsi="Times New Roman" w:eastAsia="黑体" w:cs="Times New Roman"/>
          <w:sz w:val="32"/>
          <w:szCs w:val="32"/>
          <w:lang w:bidi="ar"/>
        </w:rPr>
        <w:t>脱氢乙酸及其钠盐</w:t>
      </w:r>
    </w:p>
    <w:p>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脱氢乙酸及其钠盐是一种广谱食品防腐剂，对霉菌、酵母和细菌有较好的抑制作用。《食品安全国家标准 食品添加剂使用标准》（GB 2760—2014）规定粮食加工品不得使用脱氢乙酸及其钠盐（以脱氢乙酸计）。</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本次监督抽检发现有</w:t>
      </w:r>
      <w:r>
        <w:rPr>
          <w:rFonts w:hint="default" w:ascii="Times New Roman" w:hAnsi="Times New Roman" w:eastAsia="仿宋_GB2312" w:cs="Times New Roman"/>
          <w:sz w:val="32"/>
          <w:szCs w:val="32"/>
          <w:lang w:val="en-US" w:eastAsia="zh-CN" w:bidi="ar"/>
        </w:rPr>
        <w:t>1</w:t>
      </w:r>
      <w:r>
        <w:rPr>
          <w:rFonts w:ascii="Times New Roman" w:hAnsi="Times New Roman" w:eastAsia="仿宋_GB2312" w:cs="Times New Roman"/>
          <w:sz w:val="32"/>
          <w:szCs w:val="32"/>
          <w:lang w:bidi="ar"/>
        </w:rPr>
        <w:t>批次</w:t>
      </w:r>
      <w:r>
        <w:rPr>
          <w:rFonts w:hint="default" w:ascii="Times New Roman" w:hAnsi="Times New Roman" w:eastAsia="仿宋_GB2312" w:cs="Times New Roman"/>
          <w:sz w:val="32"/>
          <w:szCs w:val="32"/>
          <w:lang w:bidi="ar"/>
        </w:rPr>
        <w:t>粮食加工品</w:t>
      </w:r>
      <w:r>
        <w:rPr>
          <w:rFonts w:ascii="Times New Roman" w:hAnsi="Times New Roman" w:eastAsia="仿宋_GB2312" w:cs="Times New Roman"/>
          <w:sz w:val="32"/>
          <w:szCs w:val="32"/>
          <w:lang w:bidi="ar"/>
        </w:rPr>
        <w:t>样</w:t>
      </w:r>
      <w:r>
        <w:rPr>
          <w:rFonts w:hint="default" w:ascii="Times New Roman" w:hAnsi="Times New Roman" w:eastAsia="仿宋_GB2312" w:cs="Times New Roman"/>
          <w:sz w:val="32"/>
          <w:szCs w:val="32"/>
          <w:lang w:bidi="ar"/>
        </w:rPr>
        <w:t>品超范围使用脱氢乙酸及其钠盐，原因可能是企业为延长产品保质期，或者弥补产品生产过程卫生条件不佳而超范围使用。</w:t>
      </w:r>
    </w:p>
    <w:p>
      <w:pPr>
        <w:spacing w:line="540" w:lineRule="exact"/>
        <w:ind w:firstLine="640" w:firstLineChars="200"/>
        <w:rPr>
          <w:rFonts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三</w:t>
      </w:r>
      <w:r>
        <w:rPr>
          <w:rFonts w:ascii="Times New Roman" w:hAnsi="Times New Roman" w:eastAsia="黑体" w:cs="Times New Roman"/>
          <w:sz w:val="32"/>
          <w:szCs w:val="32"/>
          <w:lang w:bidi="ar"/>
        </w:rPr>
        <w:t>、</w:t>
      </w:r>
      <w:r>
        <w:rPr>
          <w:rFonts w:hint="default" w:ascii="Times New Roman" w:hAnsi="Times New Roman" w:eastAsia="黑体" w:cs="Times New Roman"/>
          <w:sz w:val="32"/>
          <w:szCs w:val="32"/>
          <w:lang w:bidi="ar"/>
        </w:rPr>
        <w:t>苯甲酸及其钠盐</w:t>
      </w:r>
    </w:p>
    <w:p>
      <w:pPr>
        <w:spacing w:line="560" w:lineRule="exact"/>
        <w:ind w:firstLine="640" w:firstLineChars="200"/>
        <w:rPr>
          <w:rFonts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山梨酸及其钾盐是一种酸性防腐剂，具有较好的抑菌效果和防霉性能，对霉菌、酵母菌和好氧性细菌的生长发育均有抑制作用</w:t>
      </w:r>
      <w:r>
        <w:rPr>
          <w:rFonts w:hint="default" w:ascii="Times New Roman" w:hAnsi="Times New Roman" w:eastAsia="仿宋_GB2312" w:cs="Times New Roman"/>
          <w:sz w:val="32"/>
          <w:szCs w:val="32"/>
          <w:lang w:eastAsia="zh-CN" w:bidi="ar"/>
        </w:rPr>
        <w:t>，山梨酸及其钾盐是一种相对无毒的食品添加剂，在生物体内可被代谢为二氧化碳和水排出体外。但如果长期食用山梨酸及其钾盐超标的食品，可能会对人体的骨骼生长、肾脏、肝脏健康造成一定影响，</w:t>
      </w:r>
      <w:r>
        <w:rPr>
          <w:rFonts w:hint="default" w:ascii="Times New Roman" w:hAnsi="Times New Roman" w:eastAsia="仿宋_GB2312" w:cs="Times New Roman"/>
          <w:sz w:val="32"/>
          <w:szCs w:val="32"/>
          <w:lang w:bidi="ar"/>
        </w:rPr>
        <w:t>《食品安全国家标准 食品添加剂使用标准》（GB 2760—2014）规定粮食加工品不得使用</w:t>
      </w:r>
      <w:r>
        <w:rPr>
          <w:rFonts w:ascii="Times New Roman" w:hAnsi="Times New Roman" w:eastAsia="仿宋_GB2312" w:cs="Times New Roman"/>
          <w:sz w:val="32"/>
          <w:szCs w:val="32"/>
          <w:lang w:bidi="ar"/>
        </w:rPr>
        <w:t>。</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本次监督抽检发现有</w:t>
      </w:r>
      <w:r>
        <w:rPr>
          <w:rFonts w:hint="default" w:ascii="Times New Roman" w:hAnsi="Times New Roman" w:eastAsia="仿宋_GB2312" w:cs="Times New Roman"/>
          <w:sz w:val="32"/>
          <w:szCs w:val="32"/>
          <w:lang w:val="en-US" w:eastAsia="zh-CN" w:bidi="ar"/>
        </w:rPr>
        <w:t>1</w:t>
      </w:r>
      <w:r>
        <w:rPr>
          <w:rFonts w:ascii="Times New Roman" w:hAnsi="Times New Roman" w:eastAsia="仿宋_GB2312" w:cs="Times New Roman"/>
          <w:sz w:val="32"/>
          <w:szCs w:val="32"/>
          <w:lang w:bidi="ar"/>
        </w:rPr>
        <w:t>批次</w:t>
      </w:r>
      <w:r>
        <w:rPr>
          <w:rFonts w:hint="default" w:ascii="Times New Roman" w:hAnsi="Times New Roman" w:eastAsia="仿宋_GB2312" w:cs="Times New Roman"/>
          <w:sz w:val="32"/>
          <w:szCs w:val="32"/>
          <w:lang w:bidi="ar"/>
        </w:rPr>
        <w:t>粮食加工品</w:t>
      </w:r>
      <w:r>
        <w:rPr>
          <w:rFonts w:ascii="Times New Roman" w:hAnsi="Times New Roman" w:eastAsia="仿宋_GB2312" w:cs="Times New Roman"/>
          <w:sz w:val="32"/>
          <w:szCs w:val="32"/>
          <w:lang w:bidi="ar"/>
        </w:rPr>
        <w:t>样品</w:t>
      </w:r>
      <w:r>
        <w:rPr>
          <w:rFonts w:hint="default" w:ascii="Times New Roman" w:hAnsi="Times New Roman" w:eastAsia="仿宋_GB2312" w:cs="Times New Roman"/>
          <w:sz w:val="32"/>
          <w:szCs w:val="32"/>
          <w:lang w:eastAsia="zh-CN" w:bidi="ar"/>
        </w:rPr>
        <w:t>超范围使用</w:t>
      </w:r>
      <w:r>
        <w:rPr>
          <w:rFonts w:hint="default" w:ascii="Times New Roman" w:hAnsi="Times New Roman" w:eastAsia="仿宋_GB2312" w:cs="Times New Roman"/>
          <w:sz w:val="32"/>
          <w:szCs w:val="32"/>
          <w:lang w:bidi="ar"/>
        </w:rPr>
        <w:t>山梨酸及其钾盐</w:t>
      </w:r>
      <w:r>
        <w:rPr>
          <w:rFonts w:hint="default" w:ascii="Times New Roman" w:hAnsi="Times New Roman" w:eastAsia="仿宋_GB2312" w:cs="Times New Roman"/>
          <w:sz w:val="32"/>
          <w:szCs w:val="32"/>
          <w:lang w:eastAsia="zh-CN" w:bidi="ar"/>
        </w:rPr>
        <w:t>，可能是企业为延长产品保质期或者为弥补产品生产中卫生条件不佳而超范围使用</w:t>
      </w:r>
      <w:r>
        <w:rPr>
          <w:rFonts w:hint="default" w:ascii="Times New Roman" w:hAnsi="Times New Roman" w:eastAsia="仿宋_GB2312" w:cs="Times New Roman"/>
          <w:sz w:val="32"/>
          <w:szCs w:val="32"/>
          <w:lang w:bidi="ar"/>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8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2021-03-12T05:19:45Z</dcterms:created>
  <dc:creator>Administrator</dc:creator>
  <cp:lastModifiedBy>覃思</cp:lastModifiedBy>
  <dcterms:modified xsi:type="dcterms:W3CDTF">2021-03-12T05:19:52Z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