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00"/>
        </w:tabs>
        <w:spacing w:line="360" w:lineRule="auto"/>
        <w:jc w:val="center"/>
        <w:rPr>
          <w:b/>
          <w:sz w:val="32"/>
          <w:szCs w:val="32"/>
        </w:rPr>
      </w:pPr>
      <w:r>
        <w:rPr>
          <w:rFonts w:hint="eastAsia"/>
          <w:b/>
          <w:sz w:val="32"/>
          <w:szCs w:val="32"/>
        </w:rPr>
        <w:t>广西地方</w:t>
      </w:r>
      <w:r>
        <w:rPr>
          <w:rFonts w:hint="eastAsia"/>
          <w:b/>
          <w:sz w:val="32"/>
          <w:szCs w:val="32"/>
          <w:lang w:eastAsia="zh-CN"/>
        </w:rPr>
        <w:t>计量技术</w:t>
      </w:r>
      <w:bookmarkStart w:id="0" w:name="_GoBack"/>
      <w:bookmarkEnd w:id="0"/>
      <w:r>
        <w:rPr>
          <w:rFonts w:hint="eastAsia"/>
          <w:b/>
          <w:sz w:val="32"/>
          <w:szCs w:val="32"/>
        </w:rPr>
        <w:t>规范</w:t>
      </w:r>
    </w:p>
    <w:p>
      <w:pPr>
        <w:tabs>
          <w:tab w:val="left" w:pos="4500"/>
        </w:tabs>
        <w:spacing w:line="360" w:lineRule="auto"/>
        <w:jc w:val="center"/>
        <w:rPr>
          <w:rFonts w:hint="eastAsia" w:eastAsia="黑体"/>
          <w:sz w:val="52"/>
          <w:szCs w:val="52"/>
        </w:rPr>
      </w:pPr>
      <w:r>
        <w:rPr>
          <w:rFonts w:hint="eastAsia"/>
          <w:b/>
          <w:sz w:val="32"/>
          <w:szCs w:val="32"/>
        </w:rPr>
        <w:t>《（300~1100）℃温度巡回检测仪》编制说明</w:t>
      </w:r>
    </w:p>
    <w:p>
      <w:pPr>
        <w:spacing w:line="360" w:lineRule="auto"/>
        <w:rPr>
          <w:rFonts w:hint="eastAsia"/>
          <w:b/>
          <w:sz w:val="24"/>
        </w:rPr>
      </w:pPr>
      <w:r>
        <w:rPr>
          <w:rFonts w:hint="eastAsia"/>
          <w:b/>
          <w:sz w:val="24"/>
        </w:rPr>
        <w:t>一、任务来源</w:t>
      </w:r>
    </w:p>
    <w:p>
      <w:pPr>
        <w:autoSpaceDE w:val="0"/>
        <w:autoSpaceDN w:val="0"/>
        <w:adjustRightInd w:val="0"/>
        <w:spacing w:line="480" w:lineRule="exact"/>
        <w:ind w:firstLine="480" w:firstLineChars="200"/>
        <w:rPr>
          <w:rFonts w:hint="eastAsia"/>
          <w:sz w:val="24"/>
        </w:rPr>
      </w:pPr>
      <w:r>
        <w:rPr>
          <w:rFonts w:hint="eastAsia"/>
          <w:sz w:val="24"/>
        </w:rPr>
        <w:t>根据《广西壮族自治区市场监督管理局关于发布2022年度广西地方计量技术规范制修订计划的通告》（2021年第200期）的要求编制，由广西壮族自治区计量检测研究院负责《（300~1100）℃温度巡回检测仪》的起草工作。</w:t>
      </w:r>
    </w:p>
    <w:p>
      <w:pPr>
        <w:spacing w:line="360" w:lineRule="auto"/>
        <w:rPr>
          <w:rFonts w:hint="eastAsia"/>
          <w:sz w:val="24"/>
        </w:rPr>
      </w:pPr>
    </w:p>
    <w:p>
      <w:pPr>
        <w:spacing w:line="360" w:lineRule="auto"/>
        <w:rPr>
          <w:rFonts w:hint="eastAsia"/>
          <w:b/>
          <w:sz w:val="24"/>
        </w:rPr>
      </w:pPr>
      <w:r>
        <w:rPr>
          <w:rFonts w:hint="eastAsia"/>
          <w:b/>
          <w:sz w:val="24"/>
        </w:rPr>
        <w:t>二、目的及意义</w:t>
      </w:r>
    </w:p>
    <w:p>
      <w:pPr>
        <w:spacing w:line="360" w:lineRule="auto"/>
        <w:ind w:firstLine="480" w:firstLineChars="200"/>
        <w:rPr>
          <w:rFonts w:hint="eastAsia"/>
          <w:sz w:val="24"/>
        </w:rPr>
      </w:pPr>
      <w:r>
        <w:rPr>
          <w:rFonts w:hint="eastAsia"/>
          <w:sz w:val="24"/>
        </w:rPr>
        <w:t>温度巡回检测仪由传感器和记录仪表构成。由多个传感器的输出电参数（电压、电阻、电流或PN结电压等）随温度的变化而变化，输出并变换成统一规格的电信号，由多路自动开关逐路选通，以采样、量化、编码和必要的辅助运算方法将模拟量转换成数字量、再经相应电路处理后，输出至驱动显示器和记录机构，周期性地采集被测信号。广泛应用于工业炉温度分布、电子产品特性试验、气象观察、发动机测试、公害测定管理、原子能材料试验、全自动校正装置、测量研究和试验等。目前，已出台的</w:t>
      </w:r>
      <w:r>
        <w:rPr>
          <w:sz w:val="24"/>
        </w:rPr>
        <w:t>JJF 1171-2007</w:t>
      </w:r>
      <w:r>
        <w:rPr>
          <w:rFonts w:hint="eastAsia"/>
          <w:sz w:val="24"/>
        </w:rPr>
        <w:t>《温度巡回检测仪校准规范》仅适用于测量范围为（-60~+300）℃的温度巡回检测仪的校准，而（300~1100）℃测温段的量值溯源依据技术文件仍处于空白。随着工业生产中温度巡回检测仪高温段使用频率越来越高，急需出台相应技术文件，以保证量值准确可靠，保证工业生产的顺利开展。因此我院特申请制订《（300~1100）℃温度巡回检测仪校准规范》以开展相应的校准工作，满足行政监管需求和客户需求。</w:t>
      </w:r>
    </w:p>
    <w:p>
      <w:pPr>
        <w:spacing w:line="360" w:lineRule="auto"/>
        <w:rPr>
          <w:rFonts w:hint="eastAsia"/>
          <w:sz w:val="24"/>
        </w:rPr>
      </w:pPr>
    </w:p>
    <w:p>
      <w:pPr>
        <w:spacing w:line="360" w:lineRule="auto"/>
        <w:rPr>
          <w:rFonts w:hint="eastAsia"/>
          <w:b/>
          <w:sz w:val="24"/>
        </w:rPr>
      </w:pPr>
      <w:r>
        <w:rPr>
          <w:rFonts w:hint="eastAsia"/>
          <w:b/>
          <w:sz w:val="24"/>
        </w:rPr>
        <w:t>三、参考的有关资料及标准</w:t>
      </w:r>
    </w:p>
    <w:p>
      <w:pPr>
        <w:spacing w:line="360" w:lineRule="auto"/>
        <w:ind w:firstLine="480" w:firstLineChars="200"/>
        <w:rPr>
          <w:rFonts w:hint="eastAsia"/>
          <w:sz w:val="24"/>
        </w:rPr>
      </w:pPr>
      <w:r>
        <w:rPr>
          <w:rFonts w:hint="eastAsia"/>
          <w:sz w:val="24"/>
        </w:rPr>
        <w:t>JJF1637-2017《廉金属热电偶校准规范》</w:t>
      </w:r>
    </w:p>
    <w:p>
      <w:pPr>
        <w:spacing w:line="360" w:lineRule="auto"/>
        <w:ind w:firstLine="480" w:firstLineChars="200"/>
        <w:rPr>
          <w:rFonts w:hint="eastAsia"/>
          <w:sz w:val="24"/>
        </w:rPr>
      </w:pPr>
      <w:r>
        <w:rPr>
          <w:rFonts w:hint="eastAsia"/>
          <w:sz w:val="24"/>
        </w:rPr>
        <w:t>JJG141-2013《工作用贵金属热电偶》</w:t>
      </w:r>
    </w:p>
    <w:p>
      <w:pPr>
        <w:spacing w:line="360" w:lineRule="auto"/>
        <w:ind w:firstLine="480" w:firstLineChars="200"/>
        <w:rPr>
          <w:sz w:val="24"/>
        </w:rPr>
      </w:pPr>
      <w:r>
        <w:rPr>
          <w:rFonts w:hint="eastAsia"/>
          <w:sz w:val="24"/>
        </w:rPr>
        <w:t>在本规范编制过程中，重点参照了以下技术规范，对配廉金属热电偶传感器的巡检仪计量特性主要依据JJF1637-2017《廉金属热电偶校准规范》的相关规定，对配贵金属热电偶传感器的巡检仪计量特性主要依据JJG141-2013《工作用贵金属热电偶》的相关规定。本规范按JJF 1071-2010《国家计量校准规范编写规则》的相关要求进行编写，名词术语参照JJF1001-2011 《通用计量术语及定义》、JJF 1007-2007《温度计量名词术语及定义》中相关名词术语及定义。</w:t>
      </w:r>
    </w:p>
    <w:p>
      <w:pPr>
        <w:spacing w:line="360" w:lineRule="auto"/>
        <w:rPr>
          <w:b/>
          <w:sz w:val="24"/>
        </w:rPr>
      </w:pPr>
      <w:r>
        <w:rPr>
          <w:rFonts w:hint="eastAsia"/>
          <w:b/>
          <w:sz w:val="24"/>
        </w:rPr>
        <w:t>四、制定规范的简要过程</w:t>
      </w:r>
    </w:p>
    <w:p>
      <w:pPr>
        <w:spacing w:line="360" w:lineRule="auto"/>
        <w:rPr>
          <w:rFonts w:hint="eastAsia"/>
          <w:b/>
          <w:sz w:val="24"/>
        </w:rPr>
      </w:pPr>
      <w:r>
        <w:rPr>
          <w:rFonts w:hint="eastAsia"/>
          <w:b/>
          <w:sz w:val="24"/>
        </w:rPr>
        <w:t xml:space="preserve"> </w:t>
      </w:r>
      <w:r>
        <w:rPr>
          <w:b/>
          <w:sz w:val="24"/>
        </w:rPr>
        <w:t xml:space="preserve"> </w:t>
      </w:r>
      <w:r>
        <w:rPr>
          <w:sz w:val="24"/>
        </w:rPr>
        <w:t xml:space="preserve">  1</w:t>
      </w:r>
      <w:r>
        <w:rPr>
          <w:rFonts w:hint="eastAsia"/>
          <w:sz w:val="24"/>
        </w:rPr>
        <w:t>、编制过程及人员分工情况</w:t>
      </w:r>
    </w:p>
    <w:p>
      <w:pPr>
        <w:spacing w:line="360" w:lineRule="auto"/>
        <w:ind w:firstLine="480" w:firstLineChars="200"/>
        <w:rPr>
          <w:sz w:val="24"/>
        </w:rPr>
      </w:pPr>
      <w:r>
        <w:rPr>
          <w:rFonts w:hint="eastAsia"/>
          <w:sz w:val="24"/>
        </w:rPr>
        <w:t>自2021年自治区市场监督局发文由广西计量检测研究院负责编制《（300～1100）℃温度巡回检测仪校准规范》后，院内迅速组建起草小组，拟定规范制定工作方案，分配工作任务。</w:t>
      </w:r>
    </w:p>
    <w:p>
      <w:pPr>
        <w:numPr>
          <w:ilvl w:val="0"/>
          <w:numId w:val="1"/>
        </w:numPr>
        <w:spacing w:line="360" w:lineRule="auto"/>
        <w:rPr>
          <w:rFonts w:hint="eastAsia"/>
          <w:sz w:val="24"/>
        </w:rPr>
      </w:pPr>
      <w:r>
        <w:rPr>
          <w:sz w:val="24"/>
        </w:rPr>
        <w:t xml:space="preserve"> </w:t>
      </w:r>
      <w:r>
        <w:rPr>
          <w:rFonts w:hint="eastAsia"/>
          <w:sz w:val="24"/>
        </w:rPr>
        <w:t>2021年12月，编写小组首次集中，商讨《（300～1100）℃温度巡回检测仪校准规范》相关计量指标校准范围；</w:t>
      </w:r>
    </w:p>
    <w:p>
      <w:pPr>
        <w:numPr>
          <w:ilvl w:val="0"/>
          <w:numId w:val="1"/>
        </w:numPr>
        <w:spacing w:line="360" w:lineRule="auto"/>
        <w:rPr>
          <w:rFonts w:hint="eastAsia"/>
          <w:sz w:val="24"/>
        </w:rPr>
      </w:pPr>
      <w:r>
        <w:rPr>
          <w:sz w:val="24"/>
        </w:rPr>
        <w:t xml:space="preserve"> </w:t>
      </w:r>
      <w:r>
        <w:rPr>
          <w:rFonts w:hint="eastAsia"/>
          <w:sz w:val="24"/>
        </w:rPr>
        <w:t>2022年</w:t>
      </w:r>
      <w:r>
        <w:rPr>
          <w:sz w:val="24"/>
        </w:rPr>
        <w:t>1</w:t>
      </w:r>
      <w:r>
        <w:rPr>
          <w:rFonts w:hint="eastAsia"/>
          <w:sz w:val="24"/>
        </w:rPr>
        <w:t>月，编写小组成员再次集中讨论初稿进行讨论，并明确了成员分工。</w:t>
      </w:r>
    </w:p>
    <w:p>
      <w:pPr>
        <w:numPr>
          <w:ilvl w:val="0"/>
          <w:numId w:val="1"/>
        </w:numPr>
        <w:spacing w:line="360" w:lineRule="auto"/>
        <w:rPr>
          <w:sz w:val="24"/>
        </w:rPr>
      </w:pPr>
      <w:r>
        <w:rPr>
          <w:sz w:val="24"/>
        </w:rPr>
        <w:t xml:space="preserve"> </w:t>
      </w:r>
      <w:r>
        <w:rPr>
          <w:rFonts w:hint="eastAsia"/>
          <w:sz w:val="24"/>
        </w:rPr>
        <w:t>2022年2月，根据校准规范初稿，对现有的（300～1100）℃温度巡回检测仪进行试验验证，确保《（300～1100）℃温度巡回检测仪校准规范》里制定的性能指标合理有效。</w:t>
      </w:r>
    </w:p>
    <w:p>
      <w:pPr>
        <w:numPr>
          <w:ilvl w:val="0"/>
          <w:numId w:val="1"/>
        </w:numPr>
        <w:spacing w:line="360" w:lineRule="auto"/>
        <w:rPr>
          <w:sz w:val="24"/>
        </w:rPr>
      </w:pPr>
      <w:r>
        <w:rPr>
          <w:rFonts w:hint="eastAsia"/>
          <w:sz w:val="24"/>
        </w:rPr>
        <w:t>人员具体分工如下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6"/>
        <w:gridCol w:w="3434"/>
        <w:gridCol w:w="1788"/>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tcPr>
          <w:p>
            <w:pPr>
              <w:jc w:val="center"/>
              <w:rPr>
                <w:rFonts w:ascii="宋体" w:hAnsi="宋体"/>
                <w:szCs w:val="21"/>
              </w:rPr>
            </w:pPr>
            <w:r>
              <w:rPr>
                <w:rFonts w:hint="eastAsia" w:ascii="宋体" w:hAnsi="宋体"/>
                <w:szCs w:val="21"/>
              </w:rPr>
              <w:t>序号</w:t>
            </w:r>
          </w:p>
        </w:tc>
        <w:tc>
          <w:tcPr>
            <w:tcW w:w="3434" w:type="dxa"/>
          </w:tcPr>
          <w:p>
            <w:pPr>
              <w:jc w:val="center"/>
              <w:rPr>
                <w:rFonts w:ascii="宋体" w:hAnsi="宋体"/>
                <w:szCs w:val="21"/>
              </w:rPr>
            </w:pPr>
            <w:r>
              <w:rPr>
                <w:rFonts w:hint="eastAsia" w:ascii="宋体" w:hAnsi="宋体"/>
                <w:szCs w:val="21"/>
              </w:rPr>
              <w:t>工作内容</w:t>
            </w:r>
          </w:p>
        </w:tc>
        <w:tc>
          <w:tcPr>
            <w:tcW w:w="1788" w:type="dxa"/>
          </w:tcPr>
          <w:p>
            <w:pPr>
              <w:jc w:val="center"/>
              <w:rPr>
                <w:rFonts w:ascii="宋体" w:hAnsi="宋体"/>
                <w:szCs w:val="21"/>
              </w:rPr>
            </w:pPr>
            <w:r>
              <w:rPr>
                <w:rFonts w:hint="eastAsia" w:ascii="宋体" w:hAnsi="宋体"/>
                <w:szCs w:val="21"/>
              </w:rPr>
              <w:t>责任人</w:t>
            </w:r>
          </w:p>
        </w:tc>
        <w:tc>
          <w:tcPr>
            <w:tcW w:w="2474" w:type="dxa"/>
          </w:tcPr>
          <w:p>
            <w:pPr>
              <w:jc w:val="center"/>
              <w:rPr>
                <w:rFonts w:ascii="宋体" w:hAnsi="宋体"/>
                <w:szCs w:val="21"/>
              </w:rPr>
            </w:pPr>
            <w:r>
              <w:rPr>
                <w:rFonts w:hint="eastAsia" w:ascii="宋体" w:hAnsi="宋体"/>
                <w:szCs w:val="21"/>
              </w:rPr>
              <w:t>计划完成时间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tcPr>
          <w:p>
            <w:pPr>
              <w:jc w:val="center"/>
              <w:rPr>
                <w:rFonts w:ascii="宋体" w:hAnsi="宋体"/>
                <w:szCs w:val="21"/>
              </w:rPr>
            </w:pPr>
            <w:r>
              <w:rPr>
                <w:rFonts w:ascii="宋体" w:hAnsi="宋体"/>
                <w:szCs w:val="21"/>
              </w:rPr>
              <w:t>1</w:t>
            </w:r>
          </w:p>
        </w:tc>
        <w:tc>
          <w:tcPr>
            <w:tcW w:w="3434" w:type="dxa"/>
          </w:tcPr>
          <w:p>
            <w:pPr>
              <w:jc w:val="center"/>
              <w:rPr>
                <w:rFonts w:ascii="宋体" w:hAnsi="宋体"/>
                <w:szCs w:val="21"/>
              </w:rPr>
            </w:pPr>
            <w:r>
              <w:rPr>
                <w:rFonts w:hint="eastAsia" w:ascii="宋体" w:hAnsi="宋体"/>
                <w:szCs w:val="21"/>
              </w:rPr>
              <w:t>编制说明</w:t>
            </w:r>
          </w:p>
        </w:tc>
        <w:tc>
          <w:tcPr>
            <w:tcW w:w="1788" w:type="dxa"/>
          </w:tcPr>
          <w:p>
            <w:pPr>
              <w:jc w:val="center"/>
              <w:rPr>
                <w:rFonts w:ascii="宋体" w:hAnsi="宋体"/>
                <w:szCs w:val="21"/>
              </w:rPr>
            </w:pPr>
            <w:r>
              <w:rPr>
                <w:rFonts w:hint="eastAsia" w:ascii="宋体" w:hAnsi="宋体"/>
                <w:szCs w:val="21"/>
              </w:rPr>
              <w:t>杨航、卜天容</w:t>
            </w:r>
          </w:p>
        </w:tc>
        <w:tc>
          <w:tcPr>
            <w:tcW w:w="2474" w:type="dxa"/>
          </w:tcPr>
          <w:p>
            <w:pPr>
              <w:jc w:val="center"/>
              <w:rPr>
                <w:rFonts w:hint="eastAsia" w:ascii="宋体" w:hAnsi="宋体"/>
                <w:szCs w:val="21"/>
              </w:rPr>
            </w:pPr>
            <w:r>
              <w:rPr>
                <w:rFonts w:ascii="宋体" w:hAnsi="宋体"/>
                <w:szCs w:val="21"/>
              </w:rPr>
              <w:t>202</w:t>
            </w:r>
            <w:r>
              <w:rPr>
                <w:rFonts w:hint="eastAsia" w:ascii="宋体" w:hAnsi="宋体"/>
                <w:szCs w:val="21"/>
              </w:rPr>
              <w:t>2年1月初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tcPr>
          <w:p>
            <w:pPr>
              <w:jc w:val="center"/>
              <w:rPr>
                <w:rFonts w:ascii="宋体" w:hAnsi="宋体"/>
                <w:szCs w:val="21"/>
              </w:rPr>
            </w:pPr>
            <w:r>
              <w:rPr>
                <w:rFonts w:ascii="宋体" w:hAnsi="宋体"/>
                <w:szCs w:val="21"/>
              </w:rPr>
              <w:t>2</w:t>
            </w:r>
          </w:p>
        </w:tc>
        <w:tc>
          <w:tcPr>
            <w:tcW w:w="3434" w:type="dxa"/>
          </w:tcPr>
          <w:p>
            <w:pPr>
              <w:jc w:val="center"/>
              <w:rPr>
                <w:rFonts w:ascii="宋体" w:hAnsi="宋体"/>
                <w:szCs w:val="21"/>
              </w:rPr>
            </w:pPr>
            <w:r>
              <w:rPr>
                <w:rFonts w:hint="eastAsia" w:ascii="宋体" w:hAnsi="宋体"/>
                <w:szCs w:val="21"/>
              </w:rPr>
              <w:t>校准规范正文</w:t>
            </w:r>
          </w:p>
        </w:tc>
        <w:tc>
          <w:tcPr>
            <w:tcW w:w="1788" w:type="dxa"/>
          </w:tcPr>
          <w:p>
            <w:pPr>
              <w:jc w:val="center"/>
              <w:rPr>
                <w:rFonts w:ascii="宋体" w:hAnsi="宋体"/>
                <w:szCs w:val="21"/>
              </w:rPr>
            </w:pPr>
            <w:r>
              <w:rPr>
                <w:rFonts w:hint="eastAsia" w:ascii="宋体" w:hAnsi="宋体"/>
                <w:szCs w:val="21"/>
              </w:rPr>
              <w:t>杨航</w:t>
            </w:r>
          </w:p>
        </w:tc>
        <w:tc>
          <w:tcPr>
            <w:tcW w:w="2474" w:type="dxa"/>
          </w:tcPr>
          <w:p>
            <w:pPr>
              <w:jc w:val="center"/>
              <w:rPr>
                <w:rFonts w:ascii="宋体" w:hAnsi="宋体"/>
                <w:szCs w:val="21"/>
              </w:rPr>
            </w:pPr>
            <w:r>
              <w:rPr>
                <w:rFonts w:ascii="宋体" w:hAnsi="宋体"/>
                <w:szCs w:val="21"/>
              </w:rPr>
              <w:t>202</w:t>
            </w:r>
            <w:r>
              <w:rPr>
                <w:rFonts w:hint="eastAsia" w:ascii="宋体" w:hAnsi="宋体"/>
                <w:szCs w:val="21"/>
              </w:rPr>
              <w:t>2年1月底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6" w:type="dxa"/>
          </w:tcPr>
          <w:p>
            <w:pPr>
              <w:jc w:val="center"/>
              <w:rPr>
                <w:rFonts w:ascii="宋体" w:hAnsi="宋体"/>
                <w:szCs w:val="21"/>
              </w:rPr>
            </w:pPr>
            <w:r>
              <w:rPr>
                <w:rFonts w:ascii="宋体" w:hAnsi="宋体"/>
                <w:szCs w:val="21"/>
              </w:rPr>
              <w:t>3</w:t>
            </w:r>
          </w:p>
        </w:tc>
        <w:tc>
          <w:tcPr>
            <w:tcW w:w="3434" w:type="dxa"/>
          </w:tcPr>
          <w:p>
            <w:pPr>
              <w:jc w:val="center"/>
              <w:rPr>
                <w:rFonts w:ascii="宋体" w:hAnsi="宋体"/>
                <w:szCs w:val="21"/>
              </w:rPr>
            </w:pPr>
            <w:r>
              <w:rPr>
                <w:rFonts w:hint="eastAsia" w:ascii="宋体" w:hAnsi="宋体"/>
                <w:szCs w:val="21"/>
              </w:rPr>
              <w:t>样品试验及试验报告</w:t>
            </w:r>
          </w:p>
        </w:tc>
        <w:tc>
          <w:tcPr>
            <w:tcW w:w="1788" w:type="dxa"/>
          </w:tcPr>
          <w:p>
            <w:pPr>
              <w:jc w:val="center"/>
              <w:rPr>
                <w:rFonts w:ascii="宋体" w:hAnsi="宋体"/>
                <w:szCs w:val="21"/>
              </w:rPr>
            </w:pPr>
            <w:r>
              <w:rPr>
                <w:rFonts w:hint="eastAsia" w:ascii="宋体" w:hAnsi="宋体"/>
                <w:szCs w:val="21"/>
              </w:rPr>
              <w:t>杨航、卜天容</w:t>
            </w:r>
          </w:p>
        </w:tc>
        <w:tc>
          <w:tcPr>
            <w:tcW w:w="2474" w:type="dxa"/>
          </w:tcPr>
          <w:p>
            <w:pPr>
              <w:jc w:val="center"/>
              <w:rPr>
                <w:rFonts w:ascii="宋体" w:hAnsi="宋体"/>
                <w:szCs w:val="21"/>
              </w:rPr>
            </w:pPr>
            <w:r>
              <w:rPr>
                <w:rFonts w:ascii="宋体" w:hAnsi="宋体"/>
                <w:szCs w:val="21"/>
              </w:rPr>
              <w:t>202</w:t>
            </w:r>
            <w:r>
              <w:rPr>
                <w:rFonts w:hint="eastAsia" w:ascii="宋体" w:hAnsi="宋体"/>
                <w:szCs w:val="21"/>
              </w:rPr>
              <w:t>2年2月底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tcPr>
          <w:p>
            <w:pPr>
              <w:jc w:val="center"/>
              <w:rPr>
                <w:rFonts w:ascii="宋体" w:hAnsi="宋体"/>
                <w:szCs w:val="21"/>
              </w:rPr>
            </w:pPr>
            <w:r>
              <w:rPr>
                <w:rFonts w:ascii="宋体" w:hAnsi="宋体"/>
                <w:szCs w:val="21"/>
              </w:rPr>
              <w:t>4</w:t>
            </w:r>
          </w:p>
        </w:tc>
        <w:tc>
          <w:tcPr>
            <w:tcW w:w="3434" w:type="dxa"/>
          </w:tcPr>
          <w:p>
            <w:pPr>
              <w:jc w:val="center"/>
              <w:rPr>
                <w:rFonts w:ascii="宋体" w:hAnsi="宋体"/>
                <w:szCs w:val="21"/>
              </w:rPr>
            </w:pPr>
            <w:r>
              <w:rPr>
                <w:rFonts w:hint="eastAsia" w:ascii="宋体" w:hAnsi="宋体"/>
                <w:szCs w:val="21"/>
              </w:rPr>
              <w:t>不确定度分析报告</w:t>
            </w:r>
          </w:p>
        </w:tc>
        <w:tc>
          <w:tcPr>
            <w:tcW w:w="1788" w:type="dxa"/>
          </w:tcPr>
          <w:p>
            <w:pPr>
              <w:jc w:val="center"/>
              <w:rPr>
                <w:rFonts w:ascii="宋体" w:hAnsi="宋体"/>
                <w:szCs w:val="21"/>
              </w:rPr>
            </w:pPr>
            <w:r>
              <w:rPr>
                <w:rFonts w:hint="eastAsia" w:ascii="宋体" w:hAnsi="宋体"/>
                <w:szCs w:val="21"/>
              </w:rPr>
              <w:t>杨航</w:t>
            </w:r>
          </w:p>
        </w:tc>
        <w:tc>
          <w:tcPr>
            <w:tcW w:w="2474" w:type="dxa"/>
          </w:tcPr>
          <w:p>
            <w:pPr>
              <w:jc w:val="center"/>
              <w:rPr>
                <w:rFonts w:ascii="宋体" w:hAnsi="宋体"/>
                <w:szCs w:val="21"/>
              </w:rPr>
            </w:pPr>
            <w:r>
              <w:rPr>
                <w:rFonts w:ascii="宋体" w:hAnsi="宋体"/>
                <w:szCs w:val="21"/>
              </w:rPr>
              <w:t>202</w:t>
            </w:r>
            <w:r>
              <w:rPr>
                <w:rFonts w:hint="eastAsia" w:ascii="宋体" w:hAnsi="宋体"/>
                <w:szCs w:val="21"/>
              </w:rPr>
              <w:t>2年2月底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tcPr>
          <w:p>
            <w:pPr>
              <w:jc w:val="center"/>
              <w:rPr>
                <w:rFonts w:ascii="宋体" w:hAnsi="宋体"/>
                <w:szCs w:val="21"/>
              </w:rPr>
            </w:pPr>
            <w:r>
              <w:rPr>
                <w:rFonts w:ascii="宋体" w:hAnsi="宋体"/>
                <w:szCs w:val="21"/>
              </w:rPr>
              <w:t>5</w:t>
            </w:r>
          </w:p>
        </w:tc>
        <w:tc>
          <w:tcPr>
            <w:tcW w:w="3434" w:type="dxa"/>
          </w:tcPr>
          <w:p>
            <w:pPr>
              <w:jc w:val="center"/>
              <w:rPr>
                <w:rFonts w:ascii="宋体" w:hAnsi="宋体"/>
                <w:szCs w:val="21"/>
              </w:rPr>
            </w:pPr>
            <w:r>
              <w:rPr>
                <w:rFonts w:hint="eastAsia" w:ascii="宋体" w:hAnsi="宋体"/>
                <w:szCs w:val="21"/>
              </w:rPr>
              <w:t>校准规范格式排版</w:t>
            </w:r>
          </w:p>
        </w:tc>
        <w:tc>
          <w:tcPr>
            <w:tcW w:w="1788" w:type="dxa"/>
          </w:tcPr>
          <w:p>
            <w:pPr>
              <w:jc w:val="center"/>
              <w:rPr>
                <w:rFonts w:ascii="宋体" w:hAnsi="宋体"/>
                <w:szCs w:val="21"/>
              </w:rPr>
            </w:pPr>
            <w:r>
              <w:rPr>
                <w:rFonts w:hint="eastAsia" w:ascii="宋体" w:hAnsi="宋体"/>
                <w:szCs w:val="21"/>
              </w:rPr>
              <w:t>杨航、莫柠瑜</w:t>
            </w:r>
          </w:p>
        </w:tc>
        <w:tc>
          <w:tcPr>
            <w:tcW w:w="2474" w:type="dxa"/>
          </w:tcPr>
          <w:p>
            <w:pPr>
              <w:jc w:val="center"/>
              <w:rPr>
                <w:rFonts w:ascii="宋体" w:hAnsi="宋体"/>
                <w:szCs w:val="21"/>
              </w:rPr>
            </w:pPr>
            <w:r>
              <w:rPr>
                <w:rFonts w:ascii="宋体" w:hAnsi="宋体"/>
                <w:szCs w:val="21"/>
              </w:rPr>
              <w:t>202</w:t>
            </w:r>
            <w:r>
              <w:rPr>
                <w:rFonts w:hint="eastAsia" w:ascii="宋体" w:hAnsi="宋体"/>
                <w:szCs w:val="21"/>
              </w:rPr>
              <w:t>2年2月底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tcPr>
          <w:p>
            <w:pPr>
              <w:jc w:val="center"/>
              <w:rPr>
                <w:rFonts w:ascii="宋体" w:hAnsi="宋体"/>
                <w:szCs w:val="21"/>
              </w:rPr>
            </w:pPr>
            <w:r>
              <w:rPr>
                <w:rFonts w:ascii="宋体" w:hAnsi="宋体"/>
                <w:szCs w:val="21"/>
              </w:rPr>
              <w:t>6</w:t>
            </w:r>
          </w:p>
        </w:tc>
        <w:tc>
          <w:tcPr>
            <w:tcW w:w="3434" w:type="dxa"/>
          </w:tcPr>
          <w:p>
            <w:pPr>
              <w:jc w:val="center"/>
              <w:rPr>
                <w:rFonts w:ascii="宋体" w:hAnsi="宋体"/>
                <w:szCs w:val="21"/>
              </w:rPr>
            </w:pPr>
            <w:r>
              <w:rPr>
                <w:rFonts w:hint="eastAsia" w:ascii="宋体" w:hAnsi="宋体"/>
                <w:szCs w:val="21"/>
              </w:rPr>
              <w:t>试验报告及不确定度报告检查</w:t>
            </w:r>
          </w:p>
        </w:tc>
        <w:tc>
          <w:tcPr>
            <w:tcW w:w="1788" w:type="dxa"/>
          </w:tcPr>
          <w:p>
            <w:pPr>
              <w:jc w:val="center"/>
              <w:rPr>
                <w:rFonts w:ascii="宋体" w:hAnsi="宋体"/>
                <w:szCs w:val="21"/>
              </w:rPr>
            </w:pPr>
            <w:r>
              <w:rPr>
                <w:rFonts w:hint="eastAsia" w:ascii="宋体" w:hAnsi="宋体"/>
                <w:szCs w:val="21"/>
              </w:rPr>
              <w:t>卜天容、龚会茹</w:t>
            </w:r>
          </w:p>
        </w:tc>
        <w:tc>
          <w:tcPr>
            <w:tcW w:w="2474" w:type="dxa"/>
          </w:tcPr>
          <w:p>
            <w:pPr>
              <w:jc w:val="center"/>
              <w:rPr>
                <w:rFonts w:ascii="宋体" w:hAnsi="宋体"/>
                <w:szCs w:val="21"/>
              </w:rPr>
            </w:pPr>
            <w:r>
              <w:rPr>
                <w:rFonts w:ascii="宋体" w:hAnsi="宋体"/>
                <w:szCs w:val="21"/>
              </w:rPr>
              <w:t>202</w:t>
            </w:r>
            <w:r>
              <w:rPr>
                <w:rFonts w:hint="eastAsia" w:ascii="宋体" w:hAnsi="宋体"/>
                <w:szCs w:val="21"/>
              </w:rPr>
              <w:t>2年2月底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6" w:type="dxa"/>
          </w:tcPr>
          <w:p>
            <w:pPr>
              <w:jc w:val="center"/>
              <w:rPr>
                <w:rFonts w:ascii="宋体" w:hAnsi="宋体"/>
                <w:szCs w:val="21"/>
              </w:rPr>
            </w:pPr>
            <w:r>
              <w:rPr>
                <w:rFonts w:ascii="宋体" w:hAnsi="宋体"/>
                <w:szCs w:val="21"/>
              </w:rPr>
              <w:t>7</w:t>
            </w:r>
          </w:p>
        </w:tc>
        <w:tc>
          <w:tcPr>
            <w:tcW w:w="3434" w:type="dxa"/>
          </w:tcPr>
          <w:p>
            <w:pPr>
              <w:jc w:val="center"/>
              <w:rPr>
                <w:rFonts w:ascii="宋体" w:hAnsi="宋体"/>
                <w:szCs w:val="21"/>
              </w:rPr>
            </w:pPr>
            <w:r>
              <w:rPr>
                <w:rFonts w:hint="eastAsia" w:ascii="宋体" w:hAnsi="宋体"/>
                <w:szCs w:val="21"/>
              </w:rPr>
              <w:t>评审会议纪要</w:t>
            </w:r>
          </w:p>
        </w:tc>
        <w:tc>
          <w:tcPr>
            <w:tcW w:w="1788" w:type="dxa"/>
          </w:tcPr>
          <w:p>
            <w:pPr>
              <w:jc w:val="center"/>
              <w:rPr>
                <w:rFonts w:ascii="宋体" w:hAnsi="宋体"/>
                <w:szCs w:val="21"/>
              </w:rPr>
            </w:pPr>
            <w:r>
              <w:rPr>
                <w:rFonts w:hint="eastAsia" w:ascii="宋体" w:hAnsi="宋体"/>
                <w:szCs w:val="21"/>
              </w:rPr>
              <w:t>刘清</w:t>
            </w:r>
          </w:p>
        </w:tc>
        <w:tc>
          <w:tcPr>
            <w:tcW w:w="2474" w:type="dxa"/>
          </w:tcPr>
          <w:p>
            <w:pPr>
              <w:jc w:val="center"/>
              <w:rPr>
                <w:rFonts w:ascii="宋体" w:hAnsi="宋体"/>
                <w:szCs w:val="21"/>
              </w:rPr>
            </w:pPr>
            <w:r>
              <w:rPr>
                <w:rFonts w:ascii="宋体" w:hAnsi="宋体"/>
                <w:szCs w:val="21"/>
              </w:rPr>
              <w:t>202</w:t>
            </w:r>
            <w:r>
              <w:rPr>
                <w:rFonts w:hint="eastAsia" w:ascii="宋体" w:hAnsi="宋体"/>
                <w:szCs w:val="21"/>
              </w:rPr>
              <w:t>2年</w:t>
            </w:r>
            <w:r>
              <w:rPr>
                <w:rFonts w:ascii="宋体" w:hAnsi="宋体"/>
                <w:szCs w:val="21"/>
              </w:rPr>
              <w:t>5</w:t>
            </w:r>
            <w:r>
              <w:rPr>
                <w:rFonts w:hint="eastAsia" w:ascii="宋体" w:hAnsi="宋体"/>
                <w:szCs w:val="21"/>
              </w:rPr>
              <w:t>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tcPr>
          <w:p>
            <w:pPr>
              <w:jc w:val="center"/>
              <w:rPr>
                <w:rFonts w:ascii="宋体" w:hAnsi="宋体"/>
                <w:szCs w:val="21"/>
              </w:rPr>
            </w:pPr>
            <w:r>
              <w:rPr>
                <w:rFonts w:ascii="宋体" w:hAnsi="宋体"/>
                <w:szCs w:val="21"/>
              </w:rPr>
              <w:t>8</w:t>
            </w:r>
          </w:p>
        </w:tc>
        <w:tc>
          <w:tcPr>
            <w:tcW w:w="3434" w:type="dxa"/>
          </w:tcPr>
          <w:p>
            <w:pPr>
              <w:jc w:val="center"/>
              <w:rPr>
                <w:rFonts w:ascii="宋体" w:hAnsi="宋体"/>
                <w:szCs w:val="21"/>
              </w:rPr>
            </w:pPr>
            <w:r>
              <w:rPr>
                <w:rFonts w:hint="eastAsia" w:ascii="宋体" w:hAnsi="宋体"/>
                <w:szCs w:val="21"/>
              </w:rPr>
              <w:t>收集征求意见并汇总</w:t>
            </w:r>
          </w:p>
        </w:tc>
        <w:tc>
          <w:tcPr>
            <w:tcW w:w="1788" w:type="dxa"/>
          </w:tcPr>
          <w:p>
            <w:pPr>
              <w:jc w:val="center"/>
              <w:rPr>
                <w:rFonts w:ascii="宋体" w:hAnsi="宋体"/>
                <w:szCs w:val="21"/>
              </w:rPr>
            </w:pPr>
            <w:r>
              <w:rPr>
                <w:rFonts w:hint="eastAsia" w:ascii="宋体" w:hAnsi="宋体"/>
                <w:szCs w:val="21"/>
              </w:rPr>
              <w:t>康慧雯、刘清</w:t>
            </w:r>
          </w:p>
        </w:tc>
        <w:tc>
          <w:tcPr>
            <w:tcW w:w="2474" w:type="dxa"/>
          </w:tcPr>
          <w:p>
            <w:pPr>
              <w:jc w:val="center"/>
              <w:rPr>
                <w:rFonts w:ascii="宋体" w:hAnsi="宋体"/>
                <w:szCs w:val="21"/>
              </w:rPr>
            </w:pPr>
            <w:r>
              <w:rPr>
                <w:rFonts w:ascii="宋体" w:hAnsi="宋体"/>
                <w:szCs w:val="21"/>
              </w:rPr>
              <w:t>202</w:t>
            </w:r>
            <w:r>
              <w:rPr>
                <w:rFonts w:hint="eastAsia" w:ascii="宋体" w:hAnsi="宋体"/>
                <w:szCs w:val="21"/>
              </w:rPr>
              <w:t>2年</w:t>
            </w:r>
            <w:r>
              <w:rPr>
                <w:rFonts w:ascii="宋体" w:hAnsi="宋体"/>
                <w:szCs w:val="21"/>
              </w:rPr>
              <w:t>5</w:t>
            </w:r>
            <w:r>
              <w:rPr>
                <w:rFonts w:hint="eastAsia" w:ascii="宋体" w:hAnsi="宋体"/>
                <w:szCs w:val="21"/>
              </w:rPr>
              <w:t>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6" w:type="dxa"/>
          </w:tcPr>
          <w:p>
            <w:pPr>
              <w:jc w:val="center"/>
              <w:rPr>
                <w:rFonts w:ascii="宋体" w:hAnsi="宋体"/>
                <w:szCs w:val="21"/>
              </w:rPr>
            </w:pPr>
            <w:r>
              <w:rPr>
                <w:rFonts w:ascii="宋体" w:hAnsi="宋体"/>
                <w:szCs w:val="21"/>
              </w:rPr>
              <w:t>9</w:t>
            </w:r>
          </w:p>
        </w:tc>
        <w:tc>
          <w:tcPr>
            <w:tcW w:w="3434" w:type="dxa"/>
          </w:tcPr>
          <w:p>
            <w:pPr>
              <w:jc w:val="center"/>
              <w:rPr>
                <w:rFonts w:ascii="宋体" w:hAnsi="宋体"/>
                <w:szCs w:val="21"/>
              </w:rPr>
            </w:pPr>
            <w:r>
              <w:rPr>
                <w:rFonts w:hint="eastAsia" w:ascii="宋体" w:hAnsi="宋体"/>
                <w:szCs w:val="21"/>
              </w:rPr>
              <w:t>审定意见书及专家签名</w:t>
            </w:r>
          </w:p>
        </w:tc>
        <w:tc>
          <w:tcPr>
            <w:tcW w:w="1788" w:type="dxa"/>
          </w:tcPr>
          <w:p>
            <w:pPr>
              <w:jc w:val="center"/>
              <w:rPr>
                <w:rFonts w:ascii="宋体" w:hAnsi="宋体"/>
                <w:szCs w:val="21"/>
              </w:rPr>
            </w:pPr>
            <w:r>
              <w:rPr>
                <w:rFonts w:hint="eastAsia" w:ascii="宋体" w:hAnsi="宋体"/>
                <w:szCs w:val="21"/>
              </w:rPr>
              <w:t>卜天容</w:t>
            </w:r>
          </w:p>
        </w:tc>
        <w:tc>
          <w:tcPr>
            <w:tcW w:w="2474" w:type="dxa"/>
          </w:tcPr>
          <w:p>
            <w:pPr>
              <w:jc w:val="center"/>
              <w:rPr>
                <w:rFonts w:ascii="宋体" w:hAnsi="宋体"/>
                <w:szCs w:val="21"/>
              </w:rPr>
            </w:pPr>
            <w:r>
              <w:rPr>
                <w:rFonts w:ascii="宋体" w:hAnsi="宋体"/>
                <w:szCs w:val="21"/>
              </w:rPr>
              <w:t>202</w:t>
            </w:r>
            <w:r>
              <w:rPr>
                <w:rFonts w:hint="eastAsia" w:ascii="宋体" w:hAnsi="宋体"/>
                <w:szCs w:val="21"/>
              </w:rPr>
              <w:t>2年</w:t>
            </w:r>
            <w:r>
              <w:rPr>
                <w:rFonts w:ascii="宋体" w:hAnsi="宋体"/>
                <w:szCs w:val="21"/>
              </w:rPr>
              <w:t>6</w:t>
            </w:r>
            <w:r>
              <w:rPr>
                <w:rFonts w:hint="eastAsia" w:ascii="宋体" w:hAnsi="宋体"/>
                <w:szCs w:val="21"/>
              </w:rPr>
              <w:t>月底</w:t>
            </w:r>
          </w:p>
        </w:tc>
      </w:tr>
    </w:tbl>
    <w:p>
      <w:pPr>
        <w:spacing w:line="360" w:lineRule="auto"/>
        <w:ind w:firstLine="480" w:firstLineChars="200"/>
        <w:rPr>
          <w:rFonts w:hint="eastAsia"/>
          <w:sz w:val="24"/>
        </w:rPr>
      </w:pPr>
      <w:r>
        <w:rPr>
          <w:sz w:val="24"/>
        </w:rPr>
        <w:t>2</w:t>
      </w:r>
      <w:r>
        <w:rPr>
          <w:rFonts w:hint="eastAsia"/>
          <w:sz w:val="24"/>
        </w:rPr>
        <w:t>、生产情况及使用情况</w:t>
      </w:r>
    </w:p>
    <w:p>
      <w:pPr>
        <w:spacing w:line="360" w:lineRule="auto"/>
        <w:ind w:firstLine="600" w:firstLineChars="250"/>
        <w:rPr>
          <w:rFonts w:hint="eastAsia"/>
          <w:sz w:val="24"/>
        </w:rPr>
      </w:pPr>
      <w:r>
        <w:rPr>
          <w:rFonts w:hint="eastAsia"/>
          <w:sz w:val="24"/>
        </w:rPr>
        <w:t>生产单位及使用现状：目前主要有</w:t>
      </w:r>
      <w:r>
        <w:rPr>
          <w:sz w:val="24"/>
        </w:rPr>
        <w:t>FLUKE</w:t>
      </w:r>
      <w:r>
        <w:rPr>
          <w:rFonts w:hint="eastAsia"/>
          <w:sz w:val="24"/>
        </w:rPr>
        <w:t>、北京惠能创和科技有限公司</w:t>
      </w:r>
      <w:r>
        <w:rPr>
          <w:sz w:val="24"/>
        </w:rPr>
        <w:t>、</w:t>
      </w:r>
      <w:r>
        <w:rPr>
          <w:rFonts w:hint="eastAsia"/>
          <w:sz w:val="24"/>
        </w:rPr>
        <w:t>广州力控自动化设备有限公司</w:t>
      </w:r>
      <w:r>
        <w:rPr>
          <w:sz w:val="24"/>
        </w:rPr>
        <w:t>、</w:t>
      </w:r>
      <w:r>
        <w:rPr>
          <w:rFonts w:hint="eastAsia"/>
          <w:sz w:val="24"/>
        </w:rPr>
        <w:t>杭州中创电子有限公司</w:t>
      </w:r>
      <w:r>
        <w:rPr>
          <w:sz w:val="24"/>
        </w:rPr>
        <w:t>、</w:t>
      </w:r>
      <w:r>
        <w:rPr>
          <w:rFonts w:hint="eastAsia"/>
          <w:sz w:val="24"/>
        </w:rPr>
        <w:t>泰安磐然测控科技有限公司</w:t>
      </w:r>
      <w:r>
        <w:rPr>
          <w:sz w:val="24"/>
        </w:rPr>
        <w:t>、</w:t>
      </w:r>
      <w:r>
        <w:rPr>
          <w:rFonts w:hint="eastAsia"/>
          <w:sz w:val="24"/>
        </w:rPr>
        <w:t>泰安市尼蒙电子科技有限公司等制造单位生产各类型的温度巡回检测仪，年产量在数万台以上。广泛应用于工业炉温度分布、电子产品特性试验、气象观察、发动机测试、公害测定管理、原子能材料试验、全自动校正装置、测量研究和试验等。国内的（300～1100）℃温度巡回检测仪生产水平和性能水平已完全满足国内生产、检测等用途的使用，故目前国内工业生产企业、气象部门、环保部门等使用的大多为国产温度巡回检测仪。</w:t>
      </w:r>
    </w:p>
    <w:p>
      <w:pPr>
        <w:spacing w:line="360" w:lineRule="auto"/>
        <w:ind w:firstLine="600" w:firstLineChars="250"/>
        <w:rPr>
          <w:rFonts w:hint="eastAsia" w:ascii="宋体" w:hAnsi="宋体"/>
          <w:sz w:val="24"/>
        </w:rPr>
      </w:pPr>
      <w:r>
        <w:rPr>
          <w:rFonts w:hint="eastAsia" w:ascii="宋体" w:hAnsi="宋体"/>
          <w:sz w:val="24"/>
        </w:rPr>
        <w:t>性能参数：目前</w:t>
      </w:r>
      <w:r>
        <w:rPr>
          <w:rFonts w:hint="eastAsia"/>
          <w:sz w:val="24"/>
        </w:rPr>
        <w:t>温度巡回检测仪测温</w:t>
      </w:r>
      <w:r>
        <w:rPr>
          <w:rFonts w:hint="eastAsia" w:ascii="宋体" w:hAnsi="宋体"/>
          <w:sz w:val="24"/>
        </w:rPr>
        <w:t>范围：（-80</w:t>
      </w:r>
      <w:r>
        <w:rPr>
          <w:sz w:val="24"/>
        </w:rPr>
        <w:t>~</w:t>
      </w:r>
      <w:r>
        <w:rPr>
          <w:rFonts w:hint="eastAsia" w:ascii="宋体" w:hAnsi="宋体"/>
          <w:sz w:val="24"/>
        </w:rPr>
        <w:t>+1100）℃，最大允许误差：±0.04%t。</w:t>
      </w:r>
    </w:p>
    <w:p>
      <w:pPr>
        <w:spacing w:line="360" w:lineRule="auto"/>
        <w:ind w:firstLine="600" w:firstLineChars="250"/>
        <w:rPr>
          <w:rFonts w:hint="eastAsia" w:ascii="宋体" w:hAnsi="宋体"/>
          <w:sz w:val="24"/>
        </w:rPr>
      </w:pPr>
      <w:r>
        <w:rPr>
          <w:rFonts w:ascii="宋体" w:hAnsi="宋体"/>
          <w:sz w:val="24"/>
        </w:rPr>
        <w:t>3</w:t>
      </w:r>
      <w:r>
        <w:rPr>
          <w:rFonts w:hint="eastAsia" w:ascii="宋体" w:hAnsi="宋体"/>
          <w:sz w:val="24"/>
        </w:rPr>
        <w:t>、编制规范的简要过程</w:t>
      </w:r>
    </w:p>
    <w:p>
      <w:pPr>
        <w:spacing w:line="360" w:lineRule="auto"/>
        <w:ind w:firstLine="600" w:firstLineChars="250"/>
        <w:rPr>
          <w:rFonts w:hint="eastAsia"/>
          <w:sz w:val="24"/>
        </w:rPr>
      </w:pPr>
      <w:r>
        <w:rPr>
          <w:rFonts w:hint="eastAsia"/>
          <w:sz w:val="24"/>
        </w:rPr>
        <w:t>规范起草小组成员在2021年之前就有收集各厂家温度巡回检测仪的性能指标的材料，并时常与生产单位联系了解相关的行业动态。曾调研气象部门、生产企业等，对其使用的温度巡回检测仪现状进行调查研究并做相应校准方法实验和验证，通过大量的实验结果分析，初步拟定了规范的框架并编写了《（300～1100）℃温度巡回检测仪校准规范》广西地方计量校准规范的初稿；2</w:t>
      </w:r>
      <w:r>
        <w:rPr>
          <w:sz w:val="24"/>
        </w:rPr>
        <w:t>02</w:t>
      </w:r>
      <w:r>
        <w:rPr>
          <w:rFonts w:hint="eastAsia"/>
          <w:sz w:val="24"/>
        </w:rPr>
        <w:t>2年1月至2</w:t>
      </w:r>
      <w:r>
        <w:rPr>
          <w:sz w:val="24"/>
        </w:rPr>
        <w:t>02</w:t>
      </w:r>
      <w:r>
        <w:rPr>
          <w:rFonts w:hint="eastAsia"/>
          <w:sz w:val="24"/>
        </w:rPr>
        <w:t>2年</w:t>
      </w:r>
      <w:r>
        <w:rPr>
          <w:sz w:val="24"/>
        </w:rPr>
        <w:t>2</w:t>
      </w:r>
      <w:r>
        <w:rPr>
          <w:rFonts w:hint="eastAsia"/>
          <w:sz w:val="24"/>
        </w:rPr>
        <w:t>月起草人修改初稿并形成征求意见稿，同时进行实验数据分析；2</w:t>
      </w:r>
      <w:r>
        <w:rPr>
          <w:sz w:val="24"/>
        </w:rPr>
        <w:t>02</w:t>
      </w:r>
      <w:r>
        <w:rPr>
          <w:rFonts w:hint="eastAsia"/>
          <w:sz w:val="24"/>
        </w:rPr>
        <w:t>2年</w:t>
      </w:r>
      <w:r>
        <w:rPr>
          <w:rFonts w:hint="eastAsia"/>
          <w:sz w:val="24"/>
          <w:lang w:val="en-US" w:eastAsia="zh-CN"/>
        </w:rPr>
        <w:t>2</w:t>
      </w:r>
      <w:r>
        <w:rPr>
          <w:rFonts w:hint="eastAsia"/>
          <w:sz w:val="24"/>
        </w:rPr>
        <w:t>月，征求意见稿上报，形成《（300～1100）℃温度巡回检测仪校准规范》广西地方计量校准规范征求意见稿。</w:t>
      </w:r>
    </w:p>
    <w:p>
      <w:pPr>
        <w:spacing w:line="360" w:lineRule="auto"/>
        <w:rPr>
          <w:b/>
          <w:sz w:val="24"/>
        </w:rPr>
      </w:pPr>
    </w:p>
    <w:p>
      <w:pPr>
        <w:spacing w:line="360" w:lineRule="auto"/>
        <w:rPr>
          <w:rFonts w:hint="eastAsia" w:ascii="宋体" w:hAnsi="宋体"/>
          <w:b/>
          <w:sz w:val="24"/>
        </w:rPr>
      </w:pPr>
      <w:r>
        <w:rPr>
          <w:rFonts w:hint="eastAsia"/>
          <w:b/>
          <w:sz w:val="24"/>
        </w:rPr>
        <w:t>五、</w:t>
      </w:r>
      <w:r>
        <w:rPr>
          <w:rFonts w:hint="eastAsia" w:ascii="宋体" w:hAnsi="宋体"/>
          <w:b/>
          <w:sz w:val="24"/>
        </w:rPr>
        <w:t>规范的主要内容（要点）及技术指标</w:t>
      </w:r>
    </w:p>
    <w:p>
      <w:pPr>
        <w:spacing w:line="360" w:lineRule="auto"/>
        <w:rPr>
          <w:rFonts w:hint="eastAsia"/>
          <w:sz w:val="24"/>
        </w:rPr>
      </w:pPr>
      <w:r>
        <w:rPr>
          <w:rFonts w:hint="eastAsia"/>
          <w:sz w:val="24"/>
        </w:rPr>
        <w:t>1.适用范围</w:t>
      </w:r>
    </w:p>
    <w:p>
      <w:pPr>
        <w:spacing w:line="360" w:lineRule="auto"/>
        <w:ind w:firstLine="480" w:firstLineChars="200"/>
        <w:rPr>
          <w:rFonts w:hint="eastAsia"/>
          <w:sz w:val="24"/>
        </w:rPr>
      </w:pPr>
      <w:r>
        <w:rPr>
          <w:sz w:val="24"/>
        </w:rPr>
        <w:t>本规范适用于</w:t>
      </w:r>
      <w:r>
        <w:rPr>
          <w:rFonts w:hint="eastAsia"/>
          <w:sz w:val="24"/>
        </w:rPr>
        <w:t>以热电偶为温度传感器（以下简称传感器），测量范围为（300～1100）℃，热电偶长度不小于700mm的温度巡回检测仪（以下简称巡检仪）的校准。</w:t>
      </w:r>
    </w:p>
    <w:p>
      <w:pPr>
        <w:spacing w:line="360" w:lineRule="auto"/>
        <w:rPr>
          <w:rFonts w:hint="eastAsia"/>
          <w:sz w:val="24"/>
        </w:rPr>
      </w:pPr>
      <w:r>
        <w:rPr>
          <w:rFonts w:hint="eastAsia"/>
          <w:sz w:val="24"/>
        </w:rPr>
        <w:t>2.关于计量性能的要求</w:t>
      </w:r>
    </w:p>
    <w:p>
      <w:pPr>
        <w:spacing w:line="360" w:lineRule="auto"/>
        <w:ind w:firstLine="480" w:firstLineChars="200"/>
        <w:rPr>
          <w:rFonts w:hint="eastAsia"/>
          <w:sz w:val="24"/>
        </w:rPr>
      </w:pPr>
      <w:r>
        <w:rPr>
          <w:rFonts w:hint="eastAsia"/>
          <w:sz w:val="24"/>
        </w:rPr>
        <w:t>对配廉金属热电偶传感器的巡检仪其温度示值误差主要依据JJF1637-2017《廉金属热电偶校准规范》的相关规定，对配贵金属热电偶传感器的巡检仪其温度示值误差主要依据JJG141-2013《工作用贵金属热电偶》的相关规定。</w:t>
      </w:r>
    </w:p>
    <w:p>
      <w:pPr>
        <w:spacing w:line="360" w:lineRule="auto"/>
        <w:rPr>
          <w:rFonts w:hint="eastAsia"/>
          <w:sz w:val="24"/>
        </w:rPr>
      </w:pPr>
      <w:r>
        <w:rPr>
          <w:rFonts w:hint="eastAsia"/>
          <w:sz w:val="24"/>
        </w:rPr>
        <w:t>3.关于标准装置</w:t>
      </w:r>
    </w:p>
    <w:p>
      <w:pPr>
        <w:spacing w:line="360" w:lineRule="auto"/>
        <w:ind w:firstLine="480" w:firstLineChars="200"/>
        <w:rPr>
          <w:rFonts w:hint="eastAsia"/>
          <w:sz w:val="24"/>
        </w:rPr>
      </w:pPr>
      <w:r>
        <w:rPr>
          <w:rFonts w:hint="eastAsia"/>
          <w:sz w:val="24"/>
        </w:rPr>
        <w:t>在此规定使用一等标准铂铑10-铂热电偶作为标准器，同时也规定了可以使用准确度等级不低于上述要求的其他标准器，校准时由标准器及配套设备引入的扩展不确定度</w:t>
      </w:r>
      <w:r>
        <w:rPr>
          <w:rFonts w:hint="eastAsia"/>
          <w:i/>
          <w:sz w:val="24"/>
        </w:rPr>
        <w:t>U</w:t>
      </w:r>
      <w:r>
        <w:rPr>
          <w:rFonts w:hint="eastAsia"/>
          <w:sz w:val="24"/>
        </w:rPr>
        <w:t>（</w:t>
      </w:r>
      <w:r>
        <w:rPr>
          <w:rFonts w:hint="eastAsia"/>
          <w:i/>
          <w:sz w:val="24"/>
        </w:rPr>
        <w:t>k</w:t>
      </w:r>
      <w:r>
        <w:rPr>
          <w:rFonts w:hint="eastAsia"/>
          <w:sz w:val="24"/>
        </w:rPr>
        <w:t>=2）应尽可能小，以满足校准工作的要求。</w:t>
      </w:r>
    </w:p>
    <w:p>
      <w:pPr>
        <w:spacing w:line="360" w:lineRule="auto"/>
        <w:rPr>
          <w:rFonts w:hint="eastAsia"/>
          <w:sz w:val="24"/>
        </w:rPr>
      </w:pPr>
      <w:r>
        <w:rPr>
          <w:rFonts w:hint="eastAsia"/>
          <w:sz w:val="24"/>
        </w:rPr>
        <w:t>4.关于校准方法</w:t>
      </w:r>
    </w:p>
    <w:p>
      <w:pPr>
        <w:spacing w:line="360" w:lineRule="auto"/>
        <w:ind w:firstLine="480" w:firstLineChars="200"/>
        <w:rPr>
          <w:rFonts w:hAnsi="宋体"/>
          <w:bCs/>
          <w:sz w:val="24"/>
        </w:rPr>
      </w:pPr>
      <w:r>
        <w:rPr>
          <w:rFonts w:hint="eastAsia" w:hAnsi="宋体"/>
          <w:bCs/>
          <w:sz w:val="24"/>
        </w:rPr>
        <w:t>采用比较法，达到热平衡后，分别记录标准器和各通道温度显示值，按照规定读数顺序读取两次，取平均值差值作为巡检仪示值误差。</w:t>
      </w:r>
    </w:p>
    <w:p>
      <w:pPr>
        <w:spacing w:line="360" w:lineRule="auto"/>
        <w:rPr>
          <w:sz w:val="24"/>
        </w:rPr>
      </w:pPr>
      <w:r>
        <w:rPr>
          <w:rFonts w:hint="eastAsia"/>
          <w:sz w:val="24"/>
        </w:rPr>
        <w:t>5、关于校准结果的表达和复校时间间隔</w:t>
      </w:r>
    </w:p>
    <w:p>
      <w:pPr>
        <w:spacing w:line="360" w:lineRule="auto"/>
        <w:ind w:firstLine="480" w:firstLineChars="200"/>
        <w:rPr>
          <w:rFonts w:ascii="宋体" w:hAnsi="宋体"/>
          <w:sz w:val="24"/>
        </w:rPr>
      </w:pPr>
      <w:r>
        <w:rPr>
          <w:rFonts w:hint="eastAsia"/>
          <w:sz w:val="24"/>
        </w:rPr>
        <w:t>校准结果的描述采用了JJF1071-2010《国家计量校准规范编写规则》中规定的内容。复校时间的长短可根据仪器所配置的传感器、使用情况、环境条件、仪器本身性能等因素决定，一般建议复校时间间隔不超过6个月（廉金属）或者1年（贵金属），送校单位也可根据变送器实际使用情况来决定复校时间间隔。</w:t>
      </w:r>
    </w:p>
    <w:p>
      <w:pPr>
        <w:spacing w:line="360" w:lineRule="auto"/>
        <w:ind w:firstLine="480" w:firstLineChars="200"/>
        <w:rPr>
          <w:rFonts w:ascii="宋体" w:hAnsi="宋体"/>
          <w:sz w:val="24"/>
        </w:rPr>
      </w:pPr>
      <w:r>
        <w:rPr>
          <w:rFonts w:hint="eastAsia" w:ascii="宋体" w:hAnsi="宋体"/>
          <w:sz w:val="24"/>
        </w:rPr>
        <w:t>以上是制定此规范的编制说明，在审核中请各位专家进行讨论，提出宝贵意见。谢谢！</w:t>
      </w:r>
    </w:p>
    <w:p>
      <w:pPr>
        <w:rPr>
          <w:sz w:val="24"/>
        </w:rPr>
      </w:pPr>
    </w:p>
    <w:p>
      <w:pPr>
        <w:spacing w:line="360" w:lineRule="auto"/>
        <w:jc w:val="right"/>
        <w:rPr>
          <w:sz w:val="24"/>
        </w:rPr>
      </w:pPr>
      <w:r>
        <w:rPr>
          <w:rFonts w:hint="eastAsia"/>
          <w:sz w:val="24"/>
        </w:rPr>
        <w:t>《（300～1100）℃温度巡回检测仪校准规范》起草小组</w:t>
      </w:r>
    </w:p>
    <w:p>
      <w:pPr>
        <w:spacing w:line="360" w:lineRule="auto"/>
        <w:jc w:val="right"/>
        <w:rPr>
          <w:sz w:val="24"/>
        </w:rPr>
      </w:pPr>
      <w:r>
        <w:rPr>
          <w:rFonts w:hint="eastAsia"/>
          <w:sz w:val="24"/>
        </w:rPr>
        <w:t>2022年</w:t>
      </w:r>
      <w:r>
        <w:rPr>
          <w:rFonts w:hint="eastAsia"/>
          <w:sz w:val="24"/>
          <w:lang w:val="en-US" w:eastAsia="zh-CN"/>
        </w:rPr>
        <w:t>2</w:t>
      </w:r>
      <w:r>
        <w:rPr>
          <w:rFonts w:hint="eastAsia"/>
          <w:sz w:val="24"/>
        </w:rPr>
        <w:t>月</w:t>
      </w:r>
    </w:p>
    <w:p>
      <w:pPr>
        <w:spacing w:line="360" w:lineRule="auto"/>
        <w:ind w:firstLine="480" w:firstLineChars="200"/>
        <w:rPr>
          <w:rFonts w:hint="eastAsia"/>
          <w:sz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6E194F"/>
    <w:multiLevelType w:val="multilevel"/>
    <w:tmpl w:val="226E194F"/>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oNotDisplayPageBoundaries w:val="true"/>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EF5"/>
    <w:rsid w:val="000055E4"/>
    <w:rsid w:val="00025E60"/>
    <w:rsid w:val="000275FE"/>
    <w:rsid w:val="0002783A"/>
    <w:rsid w:val="00041F96"/>
    <w:rsid w:val="0004311D"/>
    <w:rsid w:val="000505F5"/>
    <w:rsid w:val="00053E60"/>
    <w:rsid w:val="000656E3"/>
    <w:rsid w:val="000708C2"/>
    <w:rsid w:val="00072781"/>
    <w:rsid w:val="00074DCA"/>
    <w:rsid w:val="00077C64"/>
    <w:rsid w:val="00080732"/>
    <w:rsid w:val="00080E48"/>
    <w:rsid w:val="000821E6"/>
    <w:rsid w:val="00083DF3"/>
    <w:rsid w:val="000A4309"/>
    <w:rsid w:val="000C3FE4"/>
    <w:rsid w:val="000D403E"/>
    <w:rsid w:val="000D7001"/>
    <w:rsid w:val="000E1D15"/>
    <w:rsid w:val="000F209D"/>
    <w:rsid w:val="000F5D93"/>
    <w:rsid w:val="00100393"/>
    <w:rsid w:val="00117161"/>
    <w:rsid w:val="00123645"/>
    <w:rsid w:val="0012426F"/>
    <w:rsid w:val="001308C9"/>
    <w:rsid w:val="0013177C"/>
    <w:rsid w:val="00132CD5"/>
    <w:rsid w:val="001360ED"/>
    <w:rsid w:val="00136558"/>
    <w:rsid w:val="001408EC"/>
    <w:rsid w:val="00143CE9"/>
    <w:rsid w:val="001478D1"/>
    <w:rsid w:val="00150077"/>
    <w:rsid w:val="001518BE"/>
    <w:rsid w:val="001522DE"/>
    <w:rsid w:val="00154114"/>
    <w:rsid w:val="001604B1"/>
    <w:rsid w:val="001618BF"/>
    <w:rsid w:val="001636B6"/>
    <w:rsid w:val="001646C2"/>
    <w:rsid w:val="00166639"/>
    <w:rsid w:val="00166A9A"/>
    <w:rsid w:val="001720D9"/>
    <w:rsid w:val="00184D83"/>
    <w:rsid w:val="001951F9"/>
    <w:rsid w:val="001B175B"/>
    <w:rsid w:val="001B183C"/>
    <w:rsid w:val="001E590F"/>
    <w:rsid w:val="001E67B8"/>
    <w:rsid w:val="002036F7"/>
    <w:rsid w:val="00214EA1"/>
    <w:rsid w:val="00224460"/>
    <w:rsid w:val="00231E82"/>
    <w:rsid w:val="002450E6"/>
    <w:rsid w:val="00262436"/>
    <w:rsid w:val="0028122C"/>
    <w:rsid w:val="002A29C7"/>
    <w:rsid w:val="002C7F34"/>
    <w:rsid w:val="002E0E14"/>
    <w:rsid w:val="002E4EEF"/>
    <w:rsid w:val="002F0F4D"/>
    <w:rsid w:val="002F4CD7"/>
    <w:rsid w:val="00306AB4"/>
    <w:rsid w:val="00326FB5"/>
    <w:rsid w:val="00341E86"/>
    <w:rsid w:val="00347F23"/>
    <w:rsid w:val="003601CC"/>
    <w:rsid w:val="00364DA1"/>
    <w:rsid w:val="003A1FB0"/>
    <w:rsid w:val="003A337F"/>
    <w:rsid w:val="003A55F3"/>
    <w:rsid w:val="003C13F5"/>
    <w:rsid w:val="003C1C23"/>
    <w:rsid w:val="003C4098"/>
    <w:rsid w:val="003D26E0"/>
    <w:rsid w:val="003D2CAC"/>
    <w:rsid w:val="003F2069"/>
    <w:rsid w:val="003F4A77"/>
    <w:rsid w:val="00401624"/>
    <w:rsid w:val="00402772"/>
    <w:rsid w:val="004029E8"/>
    <w:rsid w:val="004041E5"/>
    <w:rsid w:val="0043367E"/>
    <w:rsid w:val="004444B5"/>
    <w:rsid w:val="004556D1"/>
    <w:rsid w:val="00462941"/>
    <w:rsid w:val="00463020"/>
    <w:rsid w:val="004637A7"/>
    <w:rsid w:val="004755EB"/>
    <w:rsid w:val="004A4EAD"/>
    <w:rsid w:val="004B0809"/>
    <w:rsid w:val="004B3B61"/>
    <w:rsid w:val="004C14FE"/>
    <w:rsid w:val="004C19D9"/>
    <w:rsid w:val="004D0E6A"/>
    <w:rsid w:val="004D5811"/>
    <w:rsid w:val="004E0A38"/>
    <w:rsid w:val="004E42B5"/>
    <w:rsid w:val="00506616"/>
    <w:rsid w:val="00513118"/>
    <w:rsid w:val="00514EE8"/>
    <w:rsid w:val="005165F7"/>
    <w:rsid w:val="00516B2C"/>
    <w:rsid w:val="00523164"/>
    <w:rsid w:val="0054574E"/>
    <w:rsid w:val="005464C5"/>
    <w:rsid w:val="00566EC5"/>
    <w:rsid w:val="00572E98"/>
    <w:rsid w:val="005765DD"/>
    <w:rsid w:val="00582E97"/>
    <w:rsid w:val="00584AA1"/>
    <w:rsid w:val="00590C1A"/>
    <w:rsid w:val="00591644"/>
    <w:rsid w:val="005B514B"/>
    <w:rsid w:val="005B5420"/>
    <w:rsid w:val="005D28EE"/>
    <w:rsid w:val="005D5468"/>
    <w:rsid w:val="005E030E"/>
    <w:rsid w:val="005E36F2"/>
    <w:rsid w:val="005E4191"/>
    <w:rsid w:val="005E6D4B"/>
    <w:rsid w:val="005F01CA"/>
    <w:rsid w:val="005F6AD0"/>
    <w:rsid w:val="00600067"/>
    <w:rsid w:val="006074FB"/>
    <w:rsid w:val="0061211D"/>
    <w:rsid w:val="00614BA1"/>
    <w:rsid w:val="0061604A"/>
    <w:rsid w:val="00620209"/>
    <w:rsid w:val="0062098E"/>
    <w:rsid w:val="00623CBA"/>
    <w:rsid w:val="00634A65"/>
    <w:rsid w:val="0064478C"/>
    <w:rsid w:val="00647D2B"/>
    <w:rsid w:val="00652C60"/>
    <w:rsid w:val="00655147"/>
    <w:rsid w:val="00661BED"/>
    <w:rsid w:val="00661CFC"/>
    <w:rsid w:val="0066507C"/>
    <w:rsid w:val="006868FA"/>
    <w:rsid w:val="006A11FB"/>
    <w:rsid w:val="006A1E0C"/>
    <w:rsid w:val="006A73FC"/>
    <w:rsid w:val="006B2A49"/>
    <w:rsid w:val="006B2A54"/>
    <w:rsid w:val="006C4192"/>
    <w:rsid w:val="006D07AE"/>
    <w:rsid w:val="006E0533"/>
    <w:rsid w:val="006F02EC"/>
    <w:rsid w:val="006F31D9"/>
    <w:rsid w:val="006F5C89"/>
    <w:rsid w:val="00703F56"/>
    <w:rsid w:val="007041C8"/>
    <w:rsid w:val="007113E6"/>
    <w:rsid w:val="00716285"/>
    <w:rsid w:val="00723E3F"/>
    <w:rsid w:val="00727038"/>
    <w:rsid w:val="007272D9"/>
    <w:rsid w:val="00731268"/>
    <w:rsid w:val="00735A2B"/>
    <w:rsid w:val="0074384C"/>
    <w:rsid w:val="00763425"/>
    <w:rsid w:val="00777318"/>
    <w:rsid w:val="00785898"/>
    <w:rsid w:val="007A7068"/>
    <w:rsid w:val="007B798A"/>
    <w:rsid w:val="007C0F75"/>
    <w:rsid w:val="007C443A"/>
    <w:rsid w:val="007D2093"/>
    <w:rsid w:val="007E1326"/>
    <w:rsid w:val="007F267D"/>
    <w:rsid w:val="007F2682"/>
    <w:rsid w:val="007F6DDE"/>
    <w:rsid w:val="00811FB0"/>
    <w:rsid w:val="008162B4"/>
    <w:rsid w:val="008263EF"/>
    <w:rsid w:val="0084073B"/>
    <w:rsid w:val="00841CA7"/>
    <w:rsid w:val="00850886"/>
    <w:rsid w:val="00862F99"/>
    <w:rsid w:val="008641C2"/>
    <w:rsid w:val="00867A54"/>
    <w:rsid w:val="00880D76"/>
    <w:rsid w:val="00894514"/>
    <w:rsid w:val="008C1091"/>
    <w:rsid w:val="008C148E"/>
    <w:rsid w:val="008C14FB"/>
    <w:rsid w:val="008C7995"/>
    <w:rsid w:val="008D19A6"/>
    <w:rsid w:val="008D6B03"/>
    <w:rsid w:val="008E7F62"/>
    <w:rsid w:val="008F2893"/>
    <w:rsid w:val="008F5F23"/>
    <w:rsid w:val="008F664B"/>
    <w:rsid w:val="008F7158"/>
    <w:rsid w:val="009003DE"/>
    <w:rsid w:val="00903C5E"/>
    <w:rsid w:val="009243A8"/>
    <w:rsid w:val="00926572"/>
    <w:rsid w:val="0093388A"/>
    <w:rsid w:val="00936629"/>
    <w:rsid w:val="00950F8D"/>
    <w:rsid w:val="009567A0"/>
    <w:rsid w:val="009616AB"/>
    <w:rsid w:val="00961DBF"/>
    <w:rsid w:val="0098720A"/>
    <w:rsid w:val="00997D72"/>
    <w:rsid w:val="009C4E5A"/>
    <w:rsid w:val="009D4F08"/>
    <w:rsid w:val="009D6620"/>
    <w:rsid w:val="009D7130"/>
    <w:rsid w:val="009F1B3E"/>
    <w:rsid w:val="00A0296F"/>
    <w:rsid w:val="00A10345"/>
    <w:rsid w:val="00A145A9"/>
    <w:rsid w:val="00A25C9D"/>
    <w:rsid w:val="00A279F4"/>
    <w:rsid w:val="00A353A0"/>
    <w:rsid w:val="00A408A3"/>
    <w:rsid w:val="00A539F6"/>
    <w:rsid w:val="00A66F9D"/>
    <w:rsid w:val="00A75133"/>
    <w:rsid w:val="00A84EF5"/>
    <w:rsid w:val="00AA21F3"/>
    <w:rsid w:val="00AA3CC8"/>
    <w:rsid w:val="00AA3F77"/>
    <w:rsid w:val="00AB63CE"/>
    <w:rsid w:val="00AC7523"/>
    <w:rsid w:val="00AD476D"/>
    <w:rsid w:val="00AD6D5B"/>
    <w:rsid w:val="00AE131E"/>
    <w:rsid w:val="00AF1320"/>
    <w:rsid w:val="00AF4365"/>
    <w:rsid w:val="00B02692"/>
    <w:rsid w:val="00B13CE0"/>
    <w:rsid w:val="00B16C1C"/>
    <w:rsid w:val="00B24B33"/>
    <w:rsid w:val="00B413E4"/>
    <w:rsid w:val="00B5271B"/>
    <w:rsid w:val="00B57C33"/>
    <w:rsid w:val="00B67ACA"/>
    <w:rsid w:val="00B74B25"/>
    <w:rsid w:val="00B827FF"/>
    <w:rsid w:val="00B9153E"/>
    <w:rsid w:val="00B918C1"/>
    <w:rsid w:val="00BA70BE"/>
    <w:rsid w:val="00BC2B00"/>
    <w:rsid w:val="00BC4109"/>
    <w:rsid w:val="00BC6C13"/>
    <w:rsid w:val="00BD56A0"/>
    <w:rsid w:val="00BE1819"/>
    <w:rsid w:val="00BE72A3"/>
    <w:rsid w:val="00BF3C00"/>
    <w:rsid w:val="00C118FC"/>
    <w:rsid w:val="00C2373B"/>
    <w:rsid w:val="00C25192"/>
    <w:rsid w:val="00C27CB4"/>
    <w:rsid w:val="00C30C4E"/>
    <w:rsid w:val="00C347CD"/>
    <w:rsid w:val="00C403B4"/>
    <w:rsid w:val="00C437E7"/>
    <w:rsid w:val="00C479CD"/>
    <w:rsid w:val="00C61DF0"/>
    <w:rsid w:val="00C73899"/>
    <w:rsid w:val="00C73AEF"/>
    <w:rsid w:val="00C74374"/>
    <w:rsid w:val="00C852BF"/>
    <w:rsid w:val="00C86690"/>
    <w:rsid w:val="00C8684C"/>
    <w:rsid w:val="00C91F6D"/>
    <w:rsid w:val="00CA4657"/>
    <w:rsid w:val="00CD0BEC"/>
    <w:rsid w:val="00CF5522"/>
    <w:rsid w:val="00D02769"/>
    <w:rsid w:val="00D034C6"/>
    <w:rsid w:val="00D1095B"/>
    <w:rsid w:val="00D12841"/>
    <w:rsid w:val="00D131C0"/>
    <w:rsid w:val="00D22F15"/>
    <w:rsid w:val="00D26155"/>
    <w:rsid w:val="00D33A45"/>
    <w:rsid w:val="00D53991"/>
    <w:rsid w:val="00D670AD"/>
    <w:rsid w:val="00D77072"/>
    <w:rsid w:val="00D77E28"/>
    <w:rsid w:val="00D84EF3"/>
    <w:rsid w:val="00D91A04"/>
    <w:rsid w:val="00DA1B47"/>
    <w:rsid w:val="00DB523C"/>
    <w:rsid w:val="00DB74D4"/>
    <w:rsid w:val="00DB79BE"/>
    <w:rsid w:val="00DB7CC3"/>
    <w:rsid w:val="00DC2751"/>
    <w:rsid w:val="00DD13CB"/>
    <w:rsid w:val="00DD1AA9"/>
    <w:rsid w:val="00DD3DF5"/>
    <w:rsid w:val="00DE0F09"/>
    <w:rsid w:val="00DE6039"/>
    <w:rsid w:val="00E006E0"/>
    <w:rsid w:val="00E51DCB"/>
    <w:rsid w:val="00E54804"/>
    <w:rsid w:val="00E6607A"/>
    <w:rsid w:val="00E7562A"/>
    <w:rsid w:val="00E77782"/>
    <w:rsid w:val="00E9228D"/>
    <w:rsid w:val="00E97219"/>
    <w:rsid w:val="00EA31F3"/>
    <w:rsid w:val="00EB1FBB"/>
    <w:rsid w:val="00EB3F0B"/>
    <w:rsid w:val="00EC39DA"/>
    <w:rsid w:val="00ED6EA5"/>
    <w:rsid w:val="00F055D9"/>
    <w:rsid w:val="00F078C9"/>
    <w:rsid w:val="00F11868"/>
    <w:rsid w:val="00F35B1F"/>
    <w:rsid w:val="00F55CA1"/>
    <w:rsid w:val="00F80305"/>
    <w:rsid w:val="00F946EA"/>
    <w:rsid w:val="00FA2966"/>
    <w:rsid w:val="00FB0EF5"/>
    <w:rsid w:val="00FB20FC"/>
    <w:rsid w:val="00FB7672"/>
    <w:rsid w:val="00FC1A4A"/>
    <w:rsid w:val="00FC6713"/>
    <w:rsid w:val="00FD34F8"/>
    <w:rsid w:val="00FD4403"/>
    <w:rsid w:val="00FE4297"/>
    <w:rsid w:val="00FE4574"/>
    <w:rsid w:val="00FE6AD2"/>
    <w:rsid w:val="097B513C"/>
    <w:rsid w:val="17CE49F3"/>
    <w:rsid w:val="1E44535A"/>
    <w:rsid w:val="221E113E"/>
    <w:rsid w:val="289C0D41"/>
    <w:rsid w:val="4AAF5B64"/>
    <w:rsid w:val="5E98363F"/>
    <w:rsid w:val="6BB545C8"/>
    <w:rsid w:val="77D06BF9"/>
    <w:rsid w:val="781A23EF"/>
    <w:rsid w:val="DDF7B182"/>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Company>
  <Pages>4</Pages>
  <Words>404</Words>
  <Characters>2305</Characters>
  <Lines>19</Lines>
  <Paragraphs>5</Paragraphs>
  <TotalTime>1095</TotalTime>
  <ScaleCrop>false</ScaleCrop>
  <LinksUpToDate>false</LinksUpToDate>
  <CharactersWithSpaces>2704</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2022-02-24T15:59:00Z</dcterms:created>
  <dc:creator>Administrator</dc:creator>
  <cp:lastModifiedBy>廖水莲</cp:lastModifiedBy>
  <dcterms:modified xsi:type="dcterms:W3CDTF">2022-03-11T16:20:17Z</dcterms:modified>
  <dc:title>广西地方校准规范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