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480" w:lineRule="exact"/>
        <w:ind w:firstLine="320" w:firstLineChars="100"/>
        <w:rPr>
          <w:rFonts w:ascii="黑体" w:eastAsia="黑体"/>
          <w:b w:val="0"/>
          <w:sz w:val="28"/>
          <w:szCs w:val="28"/>
        </w:rPr>
      </w:pPr>
      <w:r>
        <w:rPr>
          <w:rFonts w:ascii="黑体" w:eastAsia="黑体"/>
          <w:b w:val="0"/>
        </w:rPr>
        <w:t>2024</w:t>
      </w:r>
      <w:r>
        <w:rPr>
          <w:rFonts w:hint="eastAsia" w:ascii="黑体" w:eastAsia="黑体"/>
          <w:b w:val="0"/>
        </w:rPr>
        <w:t>年建筑用绝缘电工套管产品质量广西监督抽查实施细则</w:t>
      </w:r>
    </w:p>
    <w:p>
      <w:pPr>
        <w:snapToGrid w:val="0"/>
        <w:spacing w:line="480" w:lineRule="exact"/>
        <w:rPr>
          <w:rFonts w:ascii="黑体" w:hAnsi="黑体" w:eastAsia="黑体"/>
          <w:bCs/>
          <w:szCs w:val="21"/>
        </w:rPr>
      </w:pPr>
    </w:p>
    <w:p>
      <w:pPr>
        <w:snapToGrid w:val="0"/>
        <w:spacing w:line="480" w:lineRule="exact"/>
        <w:rPr>
          <w:rFonts w:ascii="黑体" w:hAnsi="黑体" w:eastAsia="黑体"/>
          <w:bCs/>
          <w:szCs w:val="21"/>
        </w:rPr>
      </w:pPr>
      <w:r>
        <w:rPr>
          <w:rFonts w:hint="eastAsia" w:ascii="黑体" w:hAnsi="黑体" w:eastAsia="黑体"/>
          <w:bCs/>
          <w:szCs w:val="21"/>
        </w:rPr>
        <w:t>1 范围</w:t>
      </w:r>
    </w:p>
    <w:p>
      <w:pPr>
        <w:snapToGrid w:val="0"/>
        <w:spacing w:line="480" w:lineRule="exact"/>
        <w:ind w:firstLine="420" w:firstLineChars="200"/>
        <w:rPr>
          <w:rFonts w:ascii="宋体" w:hAnsi="宋体"/>
          <w:szCs w:val="21"/>
        </w:rPr>
      </w:pPr>
      <w:r>
        <w:rPr>
          <w:rFonts w:hint="eastAsia" w:ascii="宋体" w:hAnsi="宋体"/>
          <w:szCs w:val="21"/>
        </w:rPr>
        <w:t>本细则适用于建筑用绝缘电工套管产品质量广西监督抽查，其他市场监管部门组织的及针对特殊情况的监督抽查可参考本细则执行。监督抽查产品范围为建筑用绝缘电工套管产品。本细则内容包括产品种类、术语和定义、检验依据、抽样、检验要求、判定原则、异议处理。</w:t>
      </w:r>
    </w:p>
    <w:p>
      <w:pPr>
        <w:snapToGrid w:val="0"/>
        <w:spacing w:line="480" w:lineRule="exact"/>
        <w:ind w:firstLine="420" w:firstLineChars="200"/>
        <w:rPr>
          <w:rFonts w:ascii="宋体" w:hAnsi="宋体"/>
          <w:szCs w:val="21"/>
        </w:rPr>
      </w:pPr>
    </w:p>
    <w:p>
      <w:pPr>
        <w:snapToGrid w:val="0"/>
        <w:spacing w:line="480" w:lineRule="exact"/>
        <w:rPr>
          <w:rFonts w:ascii="黑体" w:hAnsi="黑体" w:eastAsia="黑体"/>
          <w:bCs/>
          <w:szCs w:val="21"/>
        </w:rPr>
      </w:pPr>
      <w:r>
        <w:rPr>
          <w:rFonts w:hint="eastAsia" w:ascii="黑体" w:hAnsi="黑体" w:eastAsia="黑体"/>
          <w:bCs/>
          <w:szCs w:val="21"/>
        </w:rPr>
        <w:t>2 产品种类</w:t>
      </w:r>
    </w:p>
    <w:p>
      <w:pPr>
        <w:snapToGrid w:val="0"/>
        <w:spacing w:line="480" w:lineRule="exact"/>
        <w:ind w:firstLine="420" w:firstLineChars="200"/>
        <w:rPr>
          <w:rFonts w:ascii="宋体" w:hAnsi="宋体" w:cs="宋体"/>
          <w:bCs/>
          <w:szCs w:val="21"/>
        </w:rPr>
      </w:pPr>
      <w:r>
        <w:rPr>
          <w:rFonts w:hint="eastAsia" w:ascii="宋体" w:hAnsi="宋体" w:cs="宋体"/>
          <w:kern w:val="0"/>
          <w:szCs w:val="21"/>
        </w:rPr>
        <w:t>建筑用绝缘电工套管。</w:t>
      </w:r>
    </w:p>
    <w:p>
      <w:pPr>
        <w:pStyle w:val="18"/>
        <w:numPr>
          <w:ilvl w:val="0"/>
          <w:numId w:val="0"/>
        </w:numPr>
        <w:spacing w:before="0" w:beforeLines="0" w:after="0" w:afterLines="0" w:line="480" w:lineRule="exact"/>
        <w:rPr>
          <w:bCs/>
        </w:rPr>
      </w:pPr>
      <w:r>
        <w:rPr>
          <w:rFonts w:hint="eastAsia"/>
          <w:bCs/>
        </w:rPr>
        <w:t>3 术语和定义</w:t>
      </w:r>
    </w:p>
    <w:p>
      <w:pPr>
        <w:pStyle w:val="17"/>
        <w:spacing w:line="480" w:lineRule="exact"/>
      </w:pPr>
      <w:r>
        <w:rPr>
          <w:rFonts w:hint="eastAsia" w:hAnsi="宋体" w:cs="宋体"/>
          <w:szCs w:val="21"/>
        </w:rPr>
        <w:t>本细则中未列出的术语和定义同相关引用标准。</w:t>
      </w:r>
    </w:p>
    <w:p>
      <w:pPr>
        <w:snapToGrid w:val="0"/>
        <w:spacing w:line="480" w:lineRule="exact"/>
        <w:ind w:firstLine="420" w:firstLineChars="200"/>
        <w:rPr>
          <w:rFonts w:ascii="宋体" w:hAnsi="宋体" w:cs="Sim Sun"/>
          <w:kern w:val="0"/>
          <w:szCs w:val="21"/>
        </w:rPr>
      </w:pPr>
    </w:p>
    <w:p>
      <w:pPr>
        <w:snapToGrid w:val="0"/>
        <w:spacing w:line="480" w:lineRule="exact"/>
        <w:rPr>
          <w:rFonts w:ascii="黑体" w:hAnsi="宋体" w:eastAsia="黑体"/>
          <w:bCs/>
          <w:szCs w:val="21"/>
        </w:rPr>
      </w:pPr>
      <w:r>
        <w:rPr>
          <w:rFonts w:hint="eastAsia" w:ascii="黑体" w:hAnsi="宋体" w:eastAsia="黑体"/>
          <w:bCs/>
          <w:szCs w:val="21"/>
        </w:rPr>
        <w:t>4 检验依据</w:t>
      </w:r>
    </w:p>
    <w:p>
      <w:pPr>
        <w:snapToGrid w:val="0"/>
        <w:spacing w:line="480" w:lineRule="exact"/>
        <w:rPr>
          <w:rFonts w:ascii="黑体" w:hAnsi="宋体" w:eastAsia="黑体"/>
          <w:b/>
          <w:bCs/>
          <w:szCs w:val="21"/>
        </w:rPr>
      </w:pPr>
      <w:r>
        <w:rPr>
          <w:rFonts w:hint="eastAsia" w:ascii="黑体" w:hAnsi="宋体" w:eastAsia="黑体"/>
          <w:b/>
          <w:bCs/>
          <w:szCs w:val="21"/>
        </w:rPr>
        <w:t xml:space="preserve">   </w:t>
      </w:r>
      <w:r>
        <w:rPr>
          <w:rFonts w:hint="eastAsia" w:ascii="宋体" w:hAnsi="宋体"/>
          <w:bCs/>
          <w:szCs w:val="21"/>
        </w:rPr>
        <w:t xml:space="preserve"> 凡是注明日期的文件，其随后所有的修改单（不包括勘误的内容）或修订版不适用于本细则，凡是不注日期的文件，其最新版本适用于本细则。</w:t>
      </w:r>
    </w:p>
    <w:p>
      <w:pPr>
        <w:snapToGrid w:val="0"/>
        <w:spacing w:line="480" w:lineRule="exact"/>
        <w:ind w:firstLine="420" w:firstLineChars="200"/>
        <w:rPr>
          <w:rFonts w:ascii="宋体" w:hAnsi="宋体"/>
          <w:iCs/>
          <w:szCs w:val="21"/>
        </w:rPr>
      </w:pPr>
      <w:r>
        <w:rPr>
          <w:rFonts w:hint="eastAsia" w:ascii="宋体" w:hAnsi="宋体"/>
          <w:iCs/>
          <w:szCs w:val="21"/>
        </w:rPr>
        <w:t>JG/T 3050-1998 建筑用绝缘电工套管及配件</w:t>
      </w:r>
    </w:p>
    <w:p>
      <w:pPr>
        <w:snapToGrid w:val="0"/>
        <w:spacing w:line="480" w:lineRule="exact"/>
        <w:ind w:firstLine="420" w:firstLineChars="200"/>
        <w:rPr>
          <w:rFonts w:ascii="宋体" w:hAnsi="宋体"/>
          <w:bCs/>
          <w:szCs w:val="21"/>
        </w:rPr>
      </w:pPr>
      <w:r>
        <w:rPr>
          <w:rFonts w:hint="eastAsia" w:ascii="宋体" w:hAnsi="宋体"/>
          <w:bCs/>
          <w:szCs w:val="21"/>
        </w:rPr>
        <w:t>相关的法律法规、部门规章和规定</w:t>
      </w:r>
    </w:p>
    <w:p>
      <w:pPr>
        <w:snapToGrid w:val="0"/>
        <w:spacing w:line="480" w:lineRule="exact"/>
        <w:ind w:firstLine="420" w:firstLineChars="200"/>
        <w:rPr>
          <w:rFonts w:ascii="宋体" w:hAnsi="宋体"/>
          <w:szCs w:val="21"/>
        </w:rPr>
      </w:pPr>
      <w:r>
        <w:rPr>
          <w:rFonts w:hint="eastAsia" w:ascii="宋体" w:hAnsi="宋体"/>
          <w:szCs w:val="21"/>
        </w:rPr>
        <w:t>现行有效的企业标准、团体标准、地方标准及产品明示质量要求</w:t>
      </w:r>
    </w:p>
    <w:p>
      <w:pPr>
        <w:snapToGrid w:val="0"/>
        <w:spacing w:line="480" w:lineRule="exact"/>
        <w:rPr>
          <w:rFonts w:ascii="黑体" w:hAnsi="宋体" w:eastAsia="黑体"/>
          <w:b/>
          <w:bCs/>
          <w:szCs w:val="21"/>
        </w:rPr>
      </w:pPr>
    </w:p>
    <w:p>
      <w:pPr>
        <w:snapToGrid w:val="0"/>
        <w:spacing w:line="480" w:lineRule="exact"/>
        <w:rPr>
          <w:rFonts w:ascii="黑体" w:hAnsi="宋体" w:eastAsia="黑体"/>
          <w:bCs/>
          <w:color w:val="FF0000"/>
          <w:szCs w:val="21"/>
        </w:rPr>
      </w:pPr>
      <w:r>
        <w:rPr>
          <w:rFonts w:hint="eastAsia" w:ascii="黑体" w:hAnsi="宋体" w:eastAsia="黑体"/>
          <w:bCs/>
          <w:szCs w:val="21"/>
        </w:rPr>
        <w:t xml:space="preserve">5 抽样 </w:t>
      </w:r>
    </w:p>
    <w:p>
      <w:pPr>
        <w:snapToGrid w:val="0"/>
        <w:spacing w:line="480" w:lineRule="exact"/>
        <w:rPr>
          <w:rFonts w:ascii="宋体" w:hAnsi="宋体" w:cs="宋体"/>
          <w:bCs/>
          <w:szCs w:val="21"/>
        </w:rPr>
      </w:pPr>
      <w:r>
        <w:rPr>
          <w:rFonts w:hint="eastAsia" w:ascii="宋体" w:hAnsi="宋体" w:cs="宋体"/>
          <w:bCs/>
          <w:szCs w:val="21"/>
        </w:rPr>
        <w:t>5.1抽样型号与规格</w:t>
      </w:r>
    </w:p>
    <w:p>
      <w:pPr>
        <w:snapToGrid w:val="0"/>
        <w:spacing w:line="480" w:lineRule="exact"/>
        <w:ind w:firstLine="420" w:firstLineChars="200"/>
        <w:rPr>
          <w:rFonts w:ascii="宋体" w:hAnsi="宋体" w:cs="宋体"/>
          <w:szCs w:val="21"/>
        </w:rPr>
      </w:pPr>
      <w:r>
        <w:rPr>
          <w:rFonts w:hint="eastAsia" w:ascii="宋体" w:hAnsi="宋体" w:cs="宋体"/>
          <w:szCs w:val="21"/>
        </w:rPr>
        <w:t>抽样型号或规格应符合</w:t>
      </w:r>
      <w:r>
        <w:rPr>
          <w:rFonts w:hint="eastAsia" w:ascii="宋体" w:hAnsi="宋体" w:cs="宋体"/>
          <w:iCs/>
          <w:szCs w:val="21"/>
        </w:rPr>
        <w:t>JG/T 3050-1998</w:t>
      </w:r>
      <w:r>
        <w:rPr>
          <w:rFonts w:hint="eastAsia" w:ascii="宋体" w:hAnsi="宋体" w:cs="宋体"/>
          <w:szCs w:val="21"/>
        </w:rPr>
        <w:t>标准的规定。</w:t>
      </w:r>
    </w:p>
    <w:p>
      <w:pPr>
        <w:snapToGrid w:val="0"/>
        <w:spacing w:line="480" w:lineRule="exact"/>
        <w:ind w:firstLine="420" w:firstLineChars="200"/>
        <w:rPr>
          <w:rFonts w:ascii="宋体" w:hAnsi="宋体" w:cs="宋体"/>
          <w:szCs w:val="21"/>
        </w:rPr>
      </w:pPr>
      <w:r>
        <w:rPr>
          <w:rFonts w:hint="eastAsia" w:ascii="宋体" w:hAnsi="宋体" w:cs="宋体"/>
          <w:szCs w:val="21"/>
        </w:rPr>
        <w:t>抽取样品应为同一型号规格、同一批次的产品。</w:t>
      </w:r>
    </w:p>
    <w:p>
      <w:pPr>
        <w:snapToGrid w:val="0"/>
        <w:spacing w:line="480" w:lineRule="exact"/>
        <w:ind w:firstLine="420" w:firstLineChars="200"/>
        <w:rPr>
          <w:rFonts w:ascii="宋体" w:hAnsi="宋体" w:cs="宋体"/>
          <w:szCs w:val="21"/>
        </w:rPr>
      </w:pPr>
      <w:r>
        <w:rPr>
          <w:rFonts w:hint="eastAsia" w:ascii="宋体" w:hAnsi="宋体" w:cs="宋体"/>
          <w:szCs w:val="21"/>
        </w:rPr>
        <w:t>如存在多种规格型号产品时，应优先抽取按强制性标准生产的产品；如存在产品执行标准性质相同时，应优先抽取生产/销售主导产品。</w:t>
      </w:r>
    </w:p>
    <w:p>
      <w:pPr>
        <w:snapToGrid w:val="0"/>
        <w:spacing w:line="480" w:lineRule="exact"/>
        <w:rPr>
          <w:rFonts w:ascii="宋体" w:hAnsi="宋体" w:cs="宋体"/>
          <w:bCs/>
          <w:szCs w:val="21"/>
        </w:rPr>
      </w:pPr>
      <w:r>
        <w:rPr>
          <w:rFonts w:hint="eastAsia" w:ascii="宋体" w:hAnsi="宋体" w:cs="宋体"/>
          <w:bCs/>
          <w:szCs w:val="21"/>
        </w:rPr>
        <w:t>5.2抽样方法、基数、数量及注意事项</w:t>
      </w:r>
    </w:p>
    <w:p>
      <w:pPr>
        <w:snapToGrid w:val="0"/>
        <w:spacing w:line="480" w:lineRule="exact"/>
        <w:rPr>
          <w:rFonts w:ascii="宋体" w:hAnsi="宋体" w:cs="宋体"/>
          <w:bCs/>
          <w:szCs w:val="21"/>
        </w:rPr>
      </w:pPr>
      <w:r>
        <w:rPr>
          <w:rFonts w:hint="eastAsia" w:ascii="宋体" w:hAnsi="宋体" w:cs="宋体"/>
          <w:bCs/>
          <w:szCs w:val="21"/>
        </w:rPr>
        <w:t>5.2.1抽样方法</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在企业成品库内或成品堆放区随机抽取有产品质量检验合格证明或者以其他形式表明合格的、近期生产的产品（特殊情况除外）。</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随机数一般可使用随机数表、骰子或扑克牌等方法产生。</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在流通领域抽取经企业检验合格或以任何方式表明合格（合格证、合格报告、企业相关人员确认等方式均可）的</w:t>
      </w:r>
      <w:r>
        <w:rPr>
          <w:rFonts w:ascii="宋体" w:hAnsi="宋体" w:cs="宋体"/>
          <w:kern w:val="0"/>
          <w:szCs w:val="21"/>
        </w:rPr>
        <w:t>、</w:t>
      </w:r>
      <w:r>
        <w:rPr>
          <w:rFonts w:hint="eastAsia" w:ascii="宋体" w:hAnsi="宋体" w:cs="宋体"/>
          <w:kern w:val="0"/>
          <w:szCs w:val="21"/>
        </w:rPr>
        <w:t>近期生产的产品</w:t>
      </w:r>
      <w:r>
        <w:rPr>
          <w:rFonts w:ascii="宋体" w:hAnsi="宋体" w:cs="宋体"/>
          <w:kern w:val="0"/>
          <w:szCs w:val="21"/>
        </w:rPr>
        <w:t>。</w:t>
      </w:r>
    </w:p>
    <w:p>
      <w:pPr>
        <w:snapToGrid w:val="0"/>
        <w:spacing w:line="480" w:lineRule="exact"/>
        <w:rPr>
          <w:rFonts w:ascii="宋体" w:hAnsi="宋体" w:cs="宋体"/>
          <w:bCs/>
          <w:szCs w:val="21"/>
        </w:rPr>
      </w:pPr>
      <w:r>
        <w:rPr>
          <w:rFonts w:hint="eastAsia" w:ascii="宋体" w:hAnsi="宋体" w:cs="宋体"/>
          <w:bCs/>
          <w:szCs w:val="21"/>
        </w:rPr>
        <w:t>5.2.2抽样基数</w:t>
      </w:r>
    </w:p>
    <w:p>
      <w:pPr>
        <w:snapToGrid w:val="0"/>
        <w:spacing w:line="480" w:lineRule="exact"/>
        <w:ind w:firstLine="420" w:firstLineChars="200"/>
        <w:rPr>
          <w:rFonts w:ascii="宋体" w:hAnsi="宋体" w:cs="宋体"/>
          <w:kern w:val="0"/>
          <w:szCs w:val="21"/>
        </w:rPr>
      </w:pPr>
      <w:r>
        <w:rPr>
          <w:rFonts w:hint="eastAsia" w:ascii="宋体" w:hAnsi="宋体" w:cs="宋体"/>
          <w:kern w:val="0"/>
          <w:szCs w:val="21"/>
        </w:rPr>
        <w:t>应为抽查同品质、型号或同规格、同款式、同一批次的产品。在生产企业抽样时抽样基数</w:t>
      </w:r>
      <w:r>
        <w:rPr>
          <w:rFonts w:hint="eastAsia" w:ascii="宋体" w:hAnsi="宋体" w:cs="宋体"/>
          <w:color w:val="000000"/>
          <w:kern w:val="0"/>
          <w:szCs w:val="21"/>
        </w:rPr>
        <w:t>不少于250根，在流通领域抽查时抽样基数满足抽样数量即可。</w:t>
      </w:r>
    </w:p>
    <w:p>
      <w:pPr>
        <w:snapToGrid w:val="0"/>
        <w:spacing w:line="480" w:lineRule="exact"/>
        <w:rPr>
          <w:rFonts w:ascii="宋体" w:hAnsi="宋体" w:cs="宋体"/>
          <w:bCs/>
          <w:szCs w:val="21"/>
        </w:rPr>
      </w:pPr>
      <w:r>
        <w:rPr>
          <w:rFonts w:hint="eastAsia" w:ascii="宋体" w:hAnsi="宋体" w:cs="宋体"/>
          <w:bCs/>
          <w:szCs w:val="21"/>
        </w:rPr>
        <w:t>5.2.3抽样数量</w:t>
      </w:r>
    </w:p>
    <w:p>
      <w:pPr>
        <w:snapToGrid w:val="0"/>
        <w:spacing w:line="480" w:lineRule="exact"/>
        <w:ind w:firstLine="420" w:firstLineChars="200"/>
        <w:rPr>
          <w:rFonts w:ascii="宋体" w:hAnsi="宋体" w:cs="宋体"/>
          <w:bCs/>
          <w:szCs w:val="21"/>
        </w:rPr>
      </w:pPr>
      <w:r>
        <w:rPr>
          <w:rFonts w:ascii="宋体" w:hAnsi="宋体" w:cs="宋体"/>
          <w:bCs/>
          <w:szCs w:val="21"/>
        </w:rPr>
        <w:t>当管材长度不小于2.4m时，</w:t>
      </w:r>
      <w:r>
        <w:rPr>
          <w:rFonts w:hint="eastAsia" w:ascii="宋体" w:hAnsi="宋体" w:cs="宋体"/>
          <w:bCs/>
          <w:szCs w:val="21"/>
        </w:rPr>
        <w:t>在同一批次合格产品中抽取</w:t>
      </w:r>
      <w:r>
        <w:rPr>
          <w:rFonts w:ascii="宋体" w:hAnsi="宋体" w:cs="宋体"/>
          <w:bCs/>
          <w:szCs w:val="21"/>
        </w:rPr>
        <w:t>16</w:t>
      </w:r>
      <w:r>
        <w:rPr>
          <w:rFonts w:hint="eastAsia" w:ascii="宋体" w:hAnsi="宋体" w:cs="宋体"/>
          <w:bCs/>
          <w:szCs w:val="21"/>
        </w:rPr>
        <w:t>根管材，</w:t>
      </w:r>
      <w:r>
        <w:rPr>
          <w:rFonts w:ascii="宋体" w:hAnsi="宋体" w:cs="宋体"/>
          <w:bCs/>
          <w:szCs w:val="21"/>
        </w:rPr>
        <w:t>每根管材均截取为2段</w:t>
      </w:r>
      <w:r>
        <w:rPr>
          <w:rFonts w:hint="eastAsia" w:ascii="宋体" w:hAnsi="宋体" w:cs="宋体"/>
          <w:bCs/>
          <w:szCs w:val="21"/>
        </w:rPr>
        <w:t>，每段长度不小于1.2m，每根中的1段作为检验样品，1段作为备用样品</w:t>
      </w:r>
      <w:r>
        <w:rPr>
          <w:rFonts w:ascii="宋体" w:hAnsi="宋体" w:cs="宋体"/>
          <w:bCs/>
          <w:szCs w:val="21"/>
        </w:rPr>
        <w:t>；</w:t>
      </w:r>
    </w:p>
    <w:p>
      <w:pPr>
        <w:snapToGrid w:val="0"/>
        <w:spacing w:line="480" w:lineRule="exact"/>
        <w:ind w:firstLine="420" w:firstLineChars="200"/>
        <w:rPr>
          <w:rFonts w:ascii="宋体" w:hAnsi="宋体" w:cs="宋体"/>
          <w:bCs/>
          <w:szCs w:val="21"/>
        </w:rPr>
      </w:pPr>
      <w:r>
        <w:rPr>
          <w:rFonts w:ascii="宋体" w:hAnsi="宋体" w:cs="宋体"/>
          <w:bCs/>
          <w:szCs w:val="21"/>
        </w:rPr>
        <w:t>当管材长度小于2.4m时，</w:t>
      </w:r>
      <w:r>
        <w:rPr>
          <w:rFonts w:hint="eastAsia" w:ascii="宋体" w:hAnsi="宋体" w:cs="宋体"/>
          <w:bCs/>
          <w:szCs w:val="21"/>
        </w:rPr>
        <w:t>在同一批次合格产品中抽取</w:t>
      </w:r>
      <w:r>
        <w:rPr>
          <w:rFonts w:ascii="宋体" w:hAnsi="宋体" w:cs="宋体"/>
          <w:bCs/>
          <w:szCs w:val="21"/>
        </w:rPr>
        <w:t>32</w:t>
      </w:r>
      <w:r>
        <w:rPr>
          <w:rFonts w:hint="eastAsia" w:ascii="宋体" w:hAnsi="宋体" w:cs="宋体"/>
          <w:bCs/>
          <w:szCs w:val="21"/>
        </w:rPr>
        <w:t>根管材</w:t>
      </w:r>
      <w:r>
        <w:rPr>
          <w:rFonts w:ascii="宋体" w:hAnsi="宋体" w:cs="宋体"/>
          <w:bCs/>
          <w:szCs w:val="21"/>
        </w:rPr>
        <w:t>，16根</w:t>
      </w:r>
      <w:r>
        <w:rPr>
          <w:rFonts w:hint="eastAsia" w:ascii="宋体" w:hAnsi="宋体" w:cs="宋体"/>
          <w:bCs/>
          <w:szCs w:val="21"/>
        </w:rPr>
        <w:t>作为检验样品，</w:t>
      </w:r>
      <w:r>
        <w:rPr>
          <w:rFonts w:ascii="宋体" w:hAnsi="宋体" w:cs="宋体"/>
          <w:bCs/>
          <w:szCs w:val="21"/>
        </w:rPr>
        <w:t>16根</w:t>
      </w:r>
      <w:r>
        <w:rPr>
          <w:rFonts w:hint="eastAsia" w:ascii="宋体" w:hAnsi="宋体" w:cs="宋体"/>
          <w:bCs/>
          <w:szCs w:val="21"/>
        </w:rPr>
        <w:t>作为备用样品</w:t>
      </w:r>
      <w:r>
        <w:rPr>
          <w:rFonts w:ascii="宋体" w:hAnsi="宋体" w:cs="宋体"/>
          <w:bCs/>
          <w:szCs w:val="21"/>
        </w:rPr>
        <w:t>。</w:t>
      </w:r>
    </w:p>
    <w:p>
      <w:pPr>
        <w:snapToGrid w:val="0"/>
        <w:spacing w:line="480" w:lineRule="exact"/>
        <w:ind w:firstLine="420" w:firstLineChars="200"/>
        <w:rPr>
          <w:rFonts w:ascii="宋体" w:hAnsi="宋体" w:cs="宋体"/>
          <w:bCs/>
          <w:szCs w:val="21"/>
        </w:rPr>
      </w:pPr>
      <w:r>
        <w:rPr>
          <w:rFonts w:hint="eastAsia" w:ascii="宋体" w:hAnsi="宋体" w:cs="宋体"/>
          <w:bCs/>
          <w:szCs w:val="21"/>
        </w:rPr>
        <w:t>生产领域和</w:t>
      </w:r>
      <w:r>
        <w:rPr>
          <w:rFonts w:hint="eastAsia" w:ascii="宋体" w:hAnsi="宋体" w:cs="宋体"/>
          <w:kern w:val="0"/>
          <w:szCs w:val="21"/>
        </w:rPr>
        <w:t>流通领域</w:t>
      </w:r>
      <w:r>
        <w:rPr>
          <w:rFonts w:hint="eastAsia" w:ascii="宋体" w:hAnsi="宋体" w:cs="宋体"/>
          <w:bCs/>
          <w:szCs w:val="21"/>
        </w:rPr>
        <w:t>中抽取的检样</w:t>
      </w:r>
      <w:r>
        <w:rPr>
          <w:rFonts w:ascii="宋体" w:hAnsi="宋体" w:cs="宋体"/>
          <w:bCs/>
          <w:szCs w:val="21"/>
        </w:rPr>
        <w:t>和备样均</w:t>
      </w:r>
      <w:r>
        <w:rPr>
          <w:rFonts w:hint="eastAsia" w:ascii="宋体" w:hAnsi="宋体" w:cs="宋体"/>
          <w:bCs/>
          <w:szCs w:val="21"/>
        </w:rPr>
        <w:t>由抽样人员带回检验机构。</w:t>
      </w:r>
    </w:p>
    <w:p>
      <w:pPr>
        <w:snapToGrid w:val="0"/>
        <w:spacing w:line="480" w:lineRule="exact"/>
        <w:rPr>
          <w:rFonts w:ascii="宋体" w:hAnsi="宋体" w:cs="宋体"/>
          <w:bCs/>
          <w:szCs w:val="21"/>
        </w:rPr>
      </w:pPr>
      <w:r>
        <w:rPr>
          <w:rFonts w:hint="eastAsia" w:ascii="宋体" w:hAnsi="宋体" w:cs="宋体"/>
          <w:bCs/>
          <w:szCs w:val="21"/>
        </w:rPr>
        <w:t>5.2.4抽样注意事项</w:t>
      </w:r>
    </w:p>
    <w:p>
      <w:pPr>
        <w:snapToGrid w:val="0"/>
        <w:spacing w:line="480" w:lineRule="exact"/>
        <w:rPr>
          <w:rFonts w:ascii="宋体" w:hAnsi="宋体" w:cs="宋体"/>
          <w:bCs/>
          <w:szCs w:val="21"/>
        </w:rPr>
      </w:pPr>
      <w:r>
        <w:rPr>
          <w:rFonts w:ascii="宋体" w:hAnsi="宋体" w:cs="宋体"/>
          <w:bCs/>
          <w:szCs w:val="21"/>
        </w:rPr>
        <w:t xml:space="preserve">    抽样人员应当使用规定的抽样文书记录抽样信息，并对抽样场所、贮存环境、被抽样产品的标识、库存数量、抽样过程等通过拍照或者录像的方式留存证据。</w:t>
      </w:r>
    </w:p>
    <w:p>
      <w:pPr>
        <w:snapToGrid w:val="0"/>
        <w:spacing w:line="480" w:lineRule="exact"/>
        <w:rPr>
          <w:rFonts w:ascii="宋体" w:hAnsi="宋体" w:cs="宋体"/>
          <w:bCs/>
          <w:szCs w:val="21"/>
        </w:rPr>
      </w:pPr>
      <w:r>
        <w:rPr>
          <w:rFonts w:ascii="宋体" w:hAnsi="宋体" w:cs="宋体"/>
          <w:bCs/>
          <w:szCs w:val="21"/>
        </w:rPr>
        <w:t xml:space="preserve">    抽样人员应在加贴封条前后对抽取的样品进行拍照。样品加贴封条前，对产品外观、外包装、产品标签、产品合格证等四个方面进行拍照，拍取的照片应能清晰反映所抽样品的生产单位名称、样品名称、型号规格、抽样日期、执行标准等信息内容。样品加贴封条后，对检验样品和备用样品进行拍照，拍取的照片应能够反映出样品加贴封条完好的全貌</w:t>
      </w:r>
      <w:r>
        <w:rPr>
          <w:rFonts w:hint="eastAsia" w:ascii="宋体" w:hAnsi="宋体" w:cs="宋体"/>
          <w:bCs/>
          <w:szCs w:val="21"/>
        </w:rPr>
        <w:t>；若一张照片无法反映样品和封条细节，需分别拍摄多张照片。</w:t>
      </w:r>
      <w:r>
        <w:rPr>
          <w:rFonts w:ascii="宋体" w:hAnsi="宋体" w:cs="宋体"/>
          <w:bCs/>
          <w:szCs w:val="21"/>
        </w:rPr>
        <w:t>照片由抽样人员传送至检验机构，检验机构出具检验报告时应将样品照片（外观、外包装、产品标签、产品合格证（如能取到时）、加贴封条的样品等照片）纳入报告中。</w:t>
      </w:r>
    </w:p>
    <w:p>
      <w:pPr>
        <w:widowControl/>
        <w:spacing w:line="480" w:lineRule="exact"/>
        <w:ind w:left="-360"/>
        <w:jc w:val="left"/>
      </w:pPr>
    </w:p>
    <w:p>
      <w:pPr>
        <w:snapToGrid w:val="0"/>
        <w:spacing w:line="480" w:lineRule="exact"/>
        <w:rPr>
          <w:rFonts w:ascii="宋体" w:hAnsi="宋体" w:cs="宋体"/>
          <w:bCs/>
          <w:szCs w:val="21"/>
        </w:rPr>
      </w:pPr>
      <w:r>
        <w:rPr>
          <w:rFonts w:hint="eastAsia" w:ascii="宋体" w:hAnsi="宋体" w:cs="宋体"/>
          <w:bCs/>
          <w:szCs w:val="21"/>
        </w:rPr>
        <w:t>5.3 样品处置</w:t>
      </w:r>
    </w:p>
    <w:p>
      <w:pPr>
        <w:snapToGrid w:val="0"/>
        <w:spacing w:line="480" w:lineRule="exact"/>
        <w:rPr>
          <w:rFonts w:ascii="宋体" w:hAnsi="宋体" w:cs="宋体"/>
        </w:rPr>
      </w:pPr>
      <w:r>
        <w:rPr>
          <w:rFonts w:hint="eastAsia" w:ascii="宋体" w:hAnsi="宋体" w:cs="宋体"/>
        </w:rPr>
        <w:t>5.3.1 对抽取的样品，应在封条上分别注明“检验样品”与“备用样品”，并由抽样人员和受检单位代表签字确认，当场对样品进行封样，并采取必要的防拆封措施及防封条损坏措施。封条上至少要有产品名称、抽样日期、抽样人签字、受检单位代表签字或盖章以及抽样单位公章等相关信息。</w:t>
      </w:r>
    </w:p>
    <w:p>
      <w:pPr>
        <w:snapToGrid w:val="0"/>
        <w:spacing w:line="480" w:lineRule="exact"/>
        <w:rPr>
          <w:rFonts w:ascii="宋体" w:hAnsi="宋体" w:cs="宋体"/>
        </w:rPr>
      </w:pPr>
      <w:r>
        <w:rPr>
          <w:rFonts w:hint="eastAsia" w:ascii="宋体" w:hAnsi="宋体" w:cs="宋体"/>
        </w:rPr>
        <w:t>5.3.2抽取的样品按运输条件包装好，同时应保证封条在运输过程中不会破损。运输时严防雨淋、日晒、受潮。装卸时轻搬轻放，严禁掷抛。贮存时注意防晒、防雨淋、防潮。抽取的检验样品</w:t>
      </w:r>
      <w:r>
        <w:rPr>
          <w:rFonts w:ascii="宋体" w:hAnsi="宋体" w:cs="宋体"/>
        </w:rPr>
        <w:t>和备用样品均</w:t>
      </w:r>
      <w:r>
        <w:rPr>
          <w:rFonts w:hint="eastAsia" w:ascii="宋体" w:hAnsi="宋体" w:cs="宋体"/>
        </w:rPr>
        <w:t>由抽样人员自行携带至检验机构。</w:t>
      </w:r>
    </w:p>
    <w:p>
      <w:pPr>
        <w:snapToGrid w:val="0"/>
        <w:spacing w:line="480" w:lineRule="exact"/>
        <w:rPr>
          <w:rFonts w:ascii="宋体" w:hAnsi="宋体" w:cs="宋体"/>
          <w:color w:val="000000"/>
        </w:rPr>
      </w:pPr>
      <w:r>
        <w:rPr>
          <w:rFonts w:hint="eastAsia" w:ascii="宋体" w:hAnsi="宋体" w:cs="宋体"/>
        </w:rPr>
        <w:t>5.3.3 备用样品及检验结束后的样品应该贮存在阴凉、干燥、避免阳光直射的安全处。应保证备用样品在整个保存期间签封完整无损。如产品包装或说明书等材料上标明特殊储存或搬运要求，样品应按要求进行处理。</w:t>
      </w:r>
    </w:p>
    <w:p>
      <w:pPr>
        <w:snapToGrid w:val="0"/>
        <w:spacing w:line="480" w:lineRule="exact"/>
        <w:rPr>
          <w:rFonts w:ascii="宋体" w:hAnsi="宋体" w:cs="宋体"/>
          <w:bCs/>
          <w:szCs w:val="21"/>
        </w:rPr>
      </w:pPr>
      <w:r>
        <w:rPr>
          <w:rFonts w:hint="eastAsia" w:ascii="宋体" w:hAnsi="宋体" w:cs="宋体"/>
          <w:bCs/>
          <w:szCs w:val="21"/>
        </w:rPr>
        <w:t>5.4 抽样单</w:t>
      </w:r>
    </w:p>
    <w:p>
      <w:pPr>
        <w:snapToGrid w:val="0"/>
        <w:spacing w:line="480" w:lineRule="exact"/>
        <w:rPr>
          <w:rFonts w:ascii="宋体" w:hAnsi="宋体" w:cs="宋体"/>
          <w:color w:val="000000"/>
          <w:szCs w:val="21"/>
        </w:rPr>
      </w:pPr>
      <w:r>
        <w:rPr>
          <w:rFonts w:hint="eastAsia" w:ascii="宋体" w:hAnsi="宋体" w:cs="宋体"/>
          <w:bCs/>
          <w:szCs w:val="21"/>
        </w:rPr>
        <w:t>5.4.1生产领</w:t>
      </w:r>
      <w:r>
        <w:rPr>
          <w:rFonts w:hint="eastAsia" w:ascii="宋体" w:hAnsi="宋体" w:cs="宋体"/>
          <w:color w:val="000000"/>
          <w:szCs w:val="21"/>
        </w:rPr>
        <w:t>域</w:t>
      </w:r>
    </w:p>
    <w:p>
      <w:pPr>
        <w:pStyle w:val="17"/>
        <w:spacing w:line="480" w:lineRule="exact"/>
        <w:rPr>
          <w:rFonts w:hAnsi="宋体" w:eastAsia="宋体" w:cs="宋体"/>
          <w:color w:val="000000"/>
          <w:szCs w:val="21"/>
        </w:rPr>
      </w:pPr>
      <w:r>
        <w:rPr>
          <w:rFonts w:hint="eastAsia" w:hAnsi="宋体" w:eastAsia="宋体" w:cs="宋体"/>
          <w:color w:val="000000"/>
          <w:szCs w:val="21"/>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并加盖受检单位公章。对特殊情况，双方签字盖手印确认即可。</w:t>
      </w:r>
    </w:p>
    <w:p>
      <w:pPr>
        <w:pStyle w:val="17"/>
        <w:spacing w:line="480" w:lineRule="exact"/>
        <w:ind w:firstLine="0" w:firstLineChars="0"/>
        <w:rPr>
          <w:rFonts w:hAnsi="宋体" w:eastAsia="宋体" w:cs="宋体"/>
          <w:bCs/>
          <w:kern w:val="2"/>
          <w:szCs w:val="21"/>
        </w:rPr>
      </w:pPr>
      <w:r>
        <w:rPr>
          <w:rFonts w:hint="eastAsia" w:hAnsi="宋体" w:eastAsia="宋体" w:cs="宋体"/>
          <w:bCs/>
          <w:kern w:val="2"/>
          <w:szCs w:val="21"/>
        </w:rPr>
        <w:t>5.4.2 流通领域</w:t>
      </w:r>
    </w:p>
    <w:p>
      <w:pPr>
        <w:spacing w:line="480" w:lineRule="exact"/>
        <w:ind w:firstLine="420" w:firstLineChars="200"/>
        <w:rPr>
          <w:rFonts w:ascii="宋体" w:hAnsi="宋体" w:cs="宋体"/>
          <w:color w:val="000000"/>
          <w:szCs w:val="21"/>
        </w:rPr>
      </w:pPr>
      <w:r>
        <w:rPr>
          <w:rFonts w:hint="eastAsia" w:ascii="宋体" w:hAnsi="宋体" w:cs="宋体"/>
          <w:color w:val="000000"/>
          <w:szCs w:val="21"/>
        </w:rPr>
        <w:t>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并加盖受检单位公章。对特殊情况，双方签字盖手印确认即可。</w:t>
      </w:r>
    </w:p>
    <w:p>
      <w:pPr>
        <w:spacing w:line="480" w:lineRule="exact"/>
        <w:ind w:firstLine="420" w:firstLineChars="200"/>
        <w:rPr>
          <w:rFonts w:ascii="宋体" w:hAnsi="宋体" w:cs="宋体"/>
          <w:color w:val="000000"/>
          <w:szCs w:val="21"/>
        </w:rPr>
      </w:pPr>
    </w:p>
    <w:p>
      <w:pPr>
        <w:snapToGrid w:val="0"/>
        <w:spacing w:line="480" w:lineRule="exact"/>
        <w:rPr>
          <w:rFonts w:ascii="黑体" w:hAnsi="宋体" w:eastAsia="黑体"/>
          <w:bCs/>
          <w:szCs w:val="21"/>
        </w:rPr>
      </w:pPr>
      <w:r>
        <w:rPr>
          <w:rFonts w:hint="eastAsia" w:ascii="黑体" w:hAnsi="宋体" w:eastAsia="黑体"/>
          <w:bCs/>
          <w:szCs w:val="21"/>
        </w:rPr>
        <w:t>6 检验要求</w:t>
      </w:r>
    </w:p>
    <w:p>
      <w:pPr>
        <w:snapToGrid w:val="0"/>
        <w:spacing w:line="480" w:lineRule="exact"/>
        <w:rPr>
          <w:rFonts w:ascii="宋体" w:hAnsi="宋体"/>
          <w:szCs w:val="21"/>
        </w:rPr>
      </w:pPr>
      <w:r>
        <w:rPr>
          <w:rFonts w:hint="eastAsia" w:ascii="宋体" w:hAnsi="宋体"/>
          <w:szCs w:val="21"/>
        </w:rPr>
        <w:t>6.1 检验项目</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检验项目见表1。</w:t>
      </w:r>
    </w:p>
    <w:p>
      <w:pPr>
        <w:snapToGrid w:val="0"/>
        <w:spacing w:line="480" w:lineRule="exact"/>
        <w:jc w:val="center"/>
        <w:rPr>
          <w:rFonts w:ascii="宋体" w:hAnsi="宋体"/>
          <w:szCs w:val="21"/>
        </w:rPr>
      </w:pPr>
      <w:r>
        <w:rPr>
          <w:rFonts w:hint="eastAsia" w:ascii="宋体" w:hAnsi="宋体"/>
          <w:szCs w:val="21"/>
        </w:rPr>
        <w:t>表1  检验项目</w:t>
      </w:r>
    </w:p>
    <w:tbl>
      <w:tblPr>
        <w:tblStyle w:val="7"/>
        <w:tblW w:w="87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620"/>
        <w:gridCol w:w="2620"/>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blHeader/>
          <w:jc w:val="center"/>
        </w:trPr>
        <w:tc>
          <w:tcPr>
            <w:tcW w:w="846" w:type="dxa"/>
            <w:vMerge w:val="restart"/>
            <w:vAlign w:val="center"/>
          </w:tcPr>
          <w:p>
            <w:pPr>
              <w:spacing w:line="480" w:lineRule="exact"/>
              <w:jc w:val="center"/>
              <w:rPr>
                <w:rFonts w:ascii="宋体" w:hAnsi="宋体"/>
                <w:sz w:val="18"/>
                <w:szCs w:val="18"/>
              </w:rPr>
            </w:pPr>
            <w:r>
              <w:rPr>
                <w:rFonts w:hint="eastAsia" w:ascii="宋体" w:hAnsi="宋体"/>
                <w:sz w:val="18"/>
                <w:szCs w:val="18"/>
              </w:rPr>
              <w:t>序号</w:t>
            </w:r>
          </w:p>
        </w:tc>
        <w:tc>
          <w:tcPr>
            <w:tcW w:w="2620" w:type="dxa"/>
            <w:vMerge w:val="restart"/>
            <w:vAlign w:val="center"/>
          </w:tcPr>
          <w:p>
            <w:pPr>
              <w:spacing w:line="480" w:lineRule="exact"/>
              <w:jc w:val="center"/>
              <w:rPr>
                <w:rFonts w:ascii="宋体" w:hAnsi="宋体"/>
                <w:sz w:val="18"/>
                <w:szCs w:val="18"/>
              </w:rPr>
            </w:pPr>
            <w:r>
              <w:rPr>
                <w:rFonts w:hint="eastAsia" w:ascii="宋体" w:hAnsi="宋体"/>
                <w:sz w:val="18"/>
                <w:szCs w:val="18"/>
              </w:rPr>
              <w:t>检验项目</w:t>
            </w:r>
          </w:p>
        </w:tc>
        <w:tc>
          <w:tcPr>
            <w:tcW w:w="2620" w:type="dxa"/>
            <w:vMerge w:val="restart"/>
            <w:vAlign w:val="center"/>
          </w:tcPr>
          <w:p>
            <w:pPr>
              <w:spacing w:line="480" w:lineRule="exact"/>
              <w:jc w:val="center"/>
              <w:rPr>
                <w:rFonts w:ascii="宋体" w:hAnsi="宋体"/>
                <w:color w:val="FF0000"/>
                <w:sz w:val="18"/>
                <w:szCs w:val="18"/>
              </w:rPr>
            </w:pPr>
            <w:r>
              <w:rPr>
                <w:rFonts w:hint="eastAsia" w:ascii="宋体" w:hAnsi="宋体"/>
                <w:sz w:val="18"/>
                <w:szCs w:val="18"/>
                <w:lang w:val="en-US" w:eastAsia="zh-CN"/>
              </w:rPr>
              <w:t>检验依据</w:t>
            </w:r>
            <w:r>
              <w:rPr>
                <w:rFonts w:hint="eastAsia" w:ascii="宋体" w:hAnsi="宋体"/>
                <w:color w:val="FF0000"/>
                <w:sz w:val="18"/>
                <w:szCs w:val="18"/>
              </w:rPr>
              <w:t xml:space="preserve">                                                                                                                                                                                                                                                                                                                                         </w:t>
            </w:r>
          </w:p>
        </w:tc>
        <w:tc>
          <w:tcPr>
            <w:tcW w:w="2620" w:type="dxa"/>
            <w:vMerge w:val="restart"/>
            <w:vAlign w:val="center"/>
          </w:tcPr>
          <w:p>
            <w:pPr>
              <w:spacing w:line="480" w:lineRule="exact"/>
              <w:jc w:val="center"/>
              <w:rPr>
                <w:rFonts w:ascii="宋体" w:hAnsi="宋体"/>
                <w:sz w:val="18"/>
                <w:szCs w:val="18"/>
              </w:rPr>
            </w:pPr>
            <w:r>
              <w:rPr>
                <w:rFonts w:hint="eastAsia" w:ascii="宋体" w:hAnsi="宋体"/>
                <w:sz w:val="18"/>
                <w:szCs w:val="18"/>
              </w:rPr>
              <w:t>检</w:t>
            </w:r>
            <w:r>
              <w:rPr>
                <w:rFonts w:hint="eastAsia" w:ascii="宋体" w:hAnsi="宋体"/>
                <w:sz w:val="18"/>
                <w:szCs w:val="18"/>
                <w:lang w:val="en-US" w:eastAsia="zh-CN"/>
              </w:rPr>
              <w:t>验</w:t>
            </w:r>
            <w:r>
              <w:rPr>
                <w:rFonts w:hint="eastAsia" w:ascii="宋体" w:hAnsi="宋体"/>
                <w:sz w:val="18"/>
                <w:szCs w:val="18"/>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blHeader/>
          <w:jc w:val="center"/>
        </w:trPr>
        <w:tc>
          <w:tcPr>
            <w:tcW w:w="846" w:type="dxa"/>
            <w:vMerge w:val="continue"/>
          </w:tcPr>
          <w:p>
            <w:pPr>
              <w:spacing w:line="480" w:lineRule="exact"/>
              <w:rPr>
                <w:rFonts w:ascii="宋体" w:hAnsi="宋体"/>
                <w:sz w:val="18"/>
                <w:szCs w:val="18"/>
              </w:rPr>
            </w:pPr>
          </w:p>
        </w:tc>
        <w:tc>
          <w:tcPr>
            <w:tcW w:w="2620" w:type="dxa"/>
            <w:vMerge w:val="continue"/>
          </w:tcPr>
          <w:p>
            <w:pPr>
              <w:spacing w:line="480" w:lineRule="exact"/>
              <w:rPr>
                <w:rFonts w:ascii="宋体" w:hAnsi="宋体"/>
                <w:sz w:val="18"/>
                <w:szCs w:val="18"/>
              </w:rPr>
            </w:pPr>
          </w:p>
        </w:tc>
        <w:tc>
          <w:tcPr>
            <w:tcW w:w="2620" w:type="dxa"/>
            <w:vMerge w:val="continue"/>
          </w:tcPr>
          <w:p>
            <w:pPr>
              <w:spacing w:line="480" w:lineRule="exact"/>
              <w:rPr>
                <w:rFonts w:ascii="宋体" w:hAnsi="宋体"/>
                <w:sz w:val="18"/>
                <w:szCs w:val="18"/>
              </w:rPr>
            </w:pPr>
          </w:p>
        </w:tc>
        <w:tc>
          <w:tcPr>
            <w:tcW w:w="2620" w:type="dxa"/>
            <w:vMerge w:val="continue"/>
          </w:tcPr>
          <w:p>
            <w:pPr>
              <w:spacing w:line="480" w:lineRule="exac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846" w:type="dxa"/>
            <w:vAlign w:val="center"/>
          </w:tcPr>
          <w:p>
            <w:pPr>
              <w:spacing w:line="480" w:lineRule="exact"/>
              <w:jc w:val="center"/>
              <w:rPr>
                <w:rFonts w:ascii="宋体" w:hAnsi="宋体"/>
                <w:sz w:val="18"/>
                <w:szCs w:val="18"/>
              </w:rPr>
            </w:pPr>
            <w:r>
              <w:rPr>
                <w:rFonts w:ascii="宋体" w:hAnsi="宋体"/>
                <w:sz w:val="18"/>
                <w:szCs w:val="18"/>
              </w:rPr>
              <w:t>1</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rPr>
              <w:t>抗压性能</w:t>
            </w:r>
          </w:p>
        </w:tc>
        <w:tc>
          <w:tcPr>
            <w:tcW w:w="2620" w:type="dxa"/>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vAlign w:val="center"/>
          </w:tcPr>
          <w:p>
            <w:pPr>
              <w:snapToGrid w:val="0"/>
              <w:spacing w:line="480" w:lineRule="exact"/>
              <w:jc w:val="lef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46" w:type="dxa"/>
            <w:vAlign w:val="center"/>
          </w:tcPr>
          <w:p>
            <w:pPr>
              <w:spacing w:line="480" w:lineRule="exact"/>
              <w:jc w:val="center"/>
              <w:rPr>
                <w:rFonts w:ascii="宋体" w:hAnsi="宋体"/>
                <w:sz w:val="18"/>
                <w:szCs w:val="18"/>
              </w:rPr>
            </w:pPr>
            <w:r>
              <w:rPr>
                <w:rFonts w:ascii="宋体" w:hAnsi="宋体"/>
                <w:sz w:val="18"/>
                <w:szCs w:val="18"/>
              </w:rPr>
              <w:t>2</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rPr>
              <w:t>冲击性能</w:t>
            </w:r>
          </w:p>
        </w:tc>
        <w:tc>
          <w:tcPr>
            <w:tcW w:w="2620" w:type="dxa"/>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vAlign w:val="center"/>
          </w:tcPr>
          <w:p>
            <w:pPr>
              <w:snapToGrid w:val="0"/>
              <w:spacing w:line="480" w:lineRule="exact"/>
              <w:jc w:val="lef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46" w:type="dxa"/>
            <w:vAlign w:val="center"/>
          </w:tcPr>
          <w:p>
            <w:pPr>
              <w:spacing w:line="480" w:lineRule="exact"/>
              <w:jc w:val="center"/>
              <w:rPr>
                <w:rFonts w:ascii="宋体" w:hAnsi="宋体"/>
                <w:sz w:val="18"/>
                <w:szCs w:val="18"/>
              </w:rPr>
            </w:pPr>
            <w:r>
              <w:rPr>
                <w:rFonts w:hint="eastAsia" w:ascii="宋体" w:hAnsi="宋体"/>
                <w:sz w:val="18"/>
                <w:szCs w:val="18"/>
              </w:rPr>
              <w:t>3</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rPr>
              <w:t>弯曲性能</w:t>
            </w:r>
          </w:p>
        </w:tc>
        <w:tc>
          <w:tcPr>
            <w:tcW w:w="2620" w:type="dxa"/>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46" w:type="dxa"/>
            <w:vAlign w:val="center"/>
          </w:tcPr>
          <w:p>
            <w:pPr>
              <w:spacing w:line="480" w:lineRule="exact"/>
              <w:jc w:val="center"/>
              <w:rPr>
                <w:rFonts w:ascii="宋体" w:hAnsi="宋体"/>
                <w:sz w:val="18"/>
                <w:szCs w:val="18"/>
              </w:rPr>
            </w:pPr>
            <w:r>
              <w:rPr>
                <w:rFonts w:hint="eastAsia" w:ascii="宋体" w:hAnsi="宋体"/>
                <w:sz w:val="18"/>
                <w:szCs w:val="18"/>
              </w:rPr>
              <w:t>4</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rPr>
              <w:t>耐热性能</w:t>
            </w:r>
          </w:p>
        </w:tc>
        <w:tc>
          <w:tcPr>
            <w:tcW w:w="2620" w:type="dxa"/>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vAlign w:val="center"/>
          </w:tcPr>
          <w:p>
            <w:pPr>
              <w:snapToGrid w:val="0"/>
              <w:spacing w:line="480" w:lineRule="exact"/>
              <w:jc w:val="lef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46" w:type="dxa"/>
            <w:vAlign w:val="center"/>
          </w:tcPr>
          <w:p>
            <w:pPr>
              <w:spacing w:line="480" w:lineRule="exact"/>
              <w:jc w:val="center"/>
              <w:rPr>
                <w:rFonts w:ascii="宋体" w:hAnsi="宋体"/>
                <w:sz w:val="18"/>
                <w:szCs w:val="18"/>
              </w:rPr>
            </w:pPr>
            <w:r>
              <w:rPr>
                <w:rFonts w:hint="eastAsia" w:ascii="宋体" w:hAnsi="宋体"/>
                <w:sz w:val="18"/>
                <w:szCs w:val="18"/>
              </w:rPr>
              <w:t>5</w:t>
            </w:r>
          </w:p>
        </w:tc>
        <w:tc>
          <w:tcPr>
            <w:tcW w:w="2620" w:type="dxa"/>
            <w:vAlign w:val="center"/>
          </w:tcPr>
          <w:p>
            <w:pPr>
              <w:snapToGrid w:val="0"/>
              <w:spacing w:line="480" w:lineRule="exact"/>
              <w:rPr>
                <w:rFonts w:ascii="宋体" w:hAnsi="宋体"/>
                <w:sz w:val="18"/>
                <w:szCs w:val="18"/>
              </w:rPr>
            </w:pPr>
            <w:r>
              <w:rPr>
                <w:rFonts w:hint="eastAsia" w:ascii="宋体" w:hAnsi="宋体"/>
                <w:sz w:val="18"/>
                <w:szCs w:val="18"/>
              </w:rPr>
              <w:t>自熄灭性能</w:t>
            </w:r>
          </w:p>
        </w:tc>
        <w:tc>
          <w:tcPr>
            <w:tcW w:w="2620" w:type="dxa"/>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vAlign w:val="center"/>
          </w:tcPr>
          <w:p>
            <w:pPr>
              <w:snapToGrid w:val="0"/>
              <w:spacing w:line="480" w:lineRule="exact"/>
              <w:jc w:val="lef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 xml:space="preserve"> 6.10.1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spacing w:line="480" w:lineRule="exact"/>
              <w:jc w:val="center"/>
              <w:rPr>
                <w:rFonts w:ascii="宋体" w:hAnsi="宋体"/>
                <w:sz w:val="18"/>
                <w:szCs w:val="18"/>
              </w:rPr>
            </w:pPr>
            <w:r>
              <w:rPr>
                <w:rFonts w:hint="eastAsia" w:ascii="宋体" w:hAnsi="宋体"/>
                <w:sz w:val="18"/>
                <w:szCs w:val="18"/>
              </w:rPr>
              <w:t>6</w:t>
            </w:r>
          </w:p>
        </w:tc>
        <w:tc>
          <w:tcPr>
            <w:tcW w:w="262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sz w:val="18"/>
                <w:szCs w:val="18"/>
              </w:rPr>
            </w:pPr>
            <w:r>
              <w:rPr>
                <w:rFonts w:hint="eastAsia" w:ascii="宋体" w:hAnsi="宋体"/>
                <w:sz w:val="18"/>
                <w:szCs w:val="18"/>
              </w:rPr>
              <w:t>电气性能</w:t>
            </w:r>
          </w:p>
        </w:tc>
        <w:tc>
          <w:tcPr>
            <w:tcW w:w="262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p>
        </w:tc>
        <w:tc>
          <w:tcPr>
            <w:tcW w:w="262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left"/>
              <w:rPr>
                <w:rFonts w:ascii="宋体" w:hAnsi="宋体"/>
                <w:sz w:val="18"/>
                <w:szCs w:val="18"/>
              </w:rPr>
            </w:pPr>
            <w:r>
              <w:rPr>
                <w:rFonts w:hint="eastAsia" w:ascii="宋体" w:hAnsi="宋体"/>
                <w:sz w:val="18"/>
                <w:szCs w:val="18"/>
                <w:lang w:val="de-DE"/>
              </w:rPr>
              <w:t>JG/T 3050</w:t>
            </w:r>
            <w:r>
              <w:rPr>
                <w:rFonts w:hint="eastAsia" w:ascii="宋体" w:hAnsi="宋体"/>
                <w:sz w:val="18"/>
                <w:szCs w:val="18"/>
              </w:rPr>
              <w:t>-1998</w:t>
            </w:r>
            <w:r>
              <w:rPr>
                <w:rFonts w:hint="eastAsia" w:ascii="宋体" w:hAnsi="宋体"/>
                <w:sz w:val="18"/>
                <w:szCs w:val="18"/>
                <w:lang w:val="de-DE"/>
              </w:rPr>
              <w:t xml:space="preserve"> </w:t>
            </w:r>
            <w:r>
              <w:rPr>
                <w:rFonts w:hint="eastAsia" w:ascii="宋体" w:hAnsi="宋体"/>
                <w:sz w:val="18"/>
                <w:szCs w:val="18"/>
              </w:rPr>
              <w:t xml:space="preserve"> 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70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left"/>
              <w:rPr>
                <w:rFonts w:ascii="宋体" w:hAnsi="宋体"/>
                <w:sz w:val="18"/>
                <w:szCs w:val="18"/>
                <w:lang w:val="de-DE"/>
              </w:rPr>
            </w:pPr>
            <w:r>
              <w:rPr>
                <w:rFonts w:hint="eastAsia" w:ascii="宋体" w:hAnsi="宋体"/>
                <w:sz w:val="18"/>
                <w:szCs w:val="18"/>
                <w:lang w:val="de-DE"/>
              </w:rPr>
              <w:t>执行企业标准、团体标准、地方标准的产品，检验项目参照上述内容执行。</w:t>
            </w:r>
          </w:p>
        </w:tc>
      </w:tr>
    </w:tbl>
    <w:p>
      <w:pPr>
        <w:snapToGrid w:val="0"/>
        <w:spacing w:line="480" w:lineRule="exact"/>
        <w:rPr>
          <w:rFonts w:ascii="宋体" w:hAnsi="宋体"/>
          <w:bCs/>
          <w:color w:val="000000"/>
          <w:szCs w:val="21"/>
        </w:rPr>
      </w:pPr>
    </w:p>
    <w:p>
      <w:pPr>
        <w:snapToGrid w:val="0"/>
        <w:spacing w:line="480" w:lineRule="exact"/>
        <w:rPr>
          <w:rFonts w:ascii="黑体" w:hAnsi="宋体" w:eastAsia="黑体"/>
          <w:bCs/>
          <w:szCs w:val="21"/>
        </w:rPr>
      </w:pPr>
      <w:r>
        <w:rPr>
          <w:rFonts w:hint="eastAsia" w:ascii="黑体" w:hAnsi="宋体" w:eastAsia="黑体"/>
          <w:bCs/>
          <w:szCs w:val="21"/>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pacing w:line="480" w:lineRule="exact"/>
        <w:ind w:firstLine="420" w:firstLineChars="200"/>
        <w:jc w:val="left"/>
        <w:rPr>
          <w:rFonts w:ascii="宋体" w:hAnsi="宋体"/>
          <w:bCs/>
          <w:color w:val="000000"/>
          <w:szCs w:val="21"/>
        </w:rPr>
      </w:pPr>
      <w:r>
        <w:rPr>
          <w:rFonts w:hint="eastAsia" w:ascii="宋体" w:hAnsi="宋体"/>
          <w:szCs w:val="21"/>
        </w:rPr>
        <w:t>若被检产品明示的质量要求缺少本细则中检验项目依据的推荐性标准要求时，该项目不参与判定，但应在检验报告备注中进行说明。</w:t>
      </w:r>
      <w:r>
        <w:rPr>
          <w:rFonts w:hint="eastAsia" w:ascii="宋体" w:hAnsi="宋体"/>
          <w:bCs/>
          <w:color w:val="000000"/>
          <w:szCs w:val="21"/>
        </w:rPr>
        <w:t xml:space="preserve"> </w:t>
      </w:r>
    </w:p>
    <w:p>
      <w:pPr>
        <w:snapToGrid w:val="0"/>
        <w:spacing w:line="480" w:lineRule="exact"/>
        <w:rPr>
          <w:rFonts w:ascii="宋体" w:hAnsi="宋体"/>
          <w:bCs/>
          <w:color w:val="000000"/>
          <w:szCs w:val="21"/>
        </w:rPr>
      </w:pPr>
      <w:r>
        <w:rPr>
          <w:rFonts w:hint="eastAsia" w:ascii="宋体" w:hAnsi="宋体"/>
          <w:bCs/>
          <w:color w:val="000000"/>
          <w:szCs w:val="21"/>
        </w:rPr>
        <w:t>7.1当产品所检项目全部符合执行标准要求，检验报告中的检验结论表述为：“依据桂市监函〔xxxx〕xx号文中《</w:t>
      </w:r>
      <w:r>
        <w:rPr>
          <w:rFonts w:ascii="宋体" w:hAnsi="宋体"/>
          <w:bCs/>
          <w:color w:val="000000"/>
          <w:szCs w:val="21"/>
        </w:rPr>
        <w:t>2024</w:t>
      </w:r>
      <w:r>
        <w:rPr>
          <w:rFonts w:hint="eastAsia" w:ascii="宋体" w:hAnsi="宋体"/>
          <w:bCs/>
          <w:color w:val="000000"/>
          <w:szCs w:val="21"/>
        </w:rPr>
        <w:t>年建筑用绝缘电工套管产品质量广西监督抽查实施细则》要求，对所抽样品的xx个项目进行了检验，检验结果符合xx</w:t>
      </w:r>
      <w:bookmarkStart w:id="0" w:name="_GoBack"/>
      <w:bookmarkEnd w:id="0"/>
      <w:r>
        <w:rPr>
          <w:rFonts w:hint="eastAsia" w:ascii="宋体" w:hAnsi="宋体"/>
          <w:bCs/>
          <w:color w:val="000000"/>
          <w:szCs w:val="21"/>
        </w:rPr>
        <w:t>标准号《标准名称》要求。综合判定：该产品本次监督抽查合格”。</w:t>
      </w:r>
    </w:p>
    <w:p>
      <w:pPr>
        <w:snapToGrid w:val="0"/>
        <w:spacing w:line="480" w:lineRule="exact"/>
        <w:rPr>
          <w:rFonts w:ascii="宋体" w:hAnsi="宋体"/>
          <w:bCs/>
          <w:color w:val="000000"/>
          <w:szCs w:val="21"/>
        </w:rPr>
      </w:pPr>
      <w:r>
        <w:rPr>
          <w:rFonts w:hint="eastAsia" w:ascii="宋体" w:hAnsi="宋体"/>
          <w:bCs/>
          <w:color w:val="000000"/>
          <w:szCs w:val="21"/>
        </w:rPr>
        <w:t>7.2当所检项目有一项或一项以上不符合执行标准要求，检验报告中的检验结论表述为：“依据桂市监函〔xxxx〕xx号文中《</w:t>
      </w:r>
      <w:r>
        <w:rPr>
          <w:rFonts w:ascii="宋体" w:hAnsi="宋体"/>
          <w:bCs/>
          <w:color w:val="000000"/>
          <w:szCs w:val="21"/>
        </w:rPr>
        <w:t>2024</w:t>
      </w:r>
      <w:r>
        <w:rPr>
          <w:rFonts w:hint="eastAsia" w:ascii="宋体" w:hAnsi="宋体"/>
          <w:bCs/>
          <w:color w:val="000000"/>
          <w:szCs w:val="21"/>
        </w:rPr>
        <w:t xml:space="preserve">年建筑用绝缘电工套管产品质量广西监督抽查实施细则》要求，对所抽样品的xx个项目进行了检验，其中xx、xx项目的检验结果不符合xx标准号《标准名称》要求。综合判定：该产品本次监督抽查不合格”。  </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国家（行业、地方）标准名称》要求。</w:t>
      </w:r>
    </w:p>
    <w:p>
      <w:pPr>
        <w:snapToGrid w:val="0"/>
        <w:spacing w:line="480" w:lineRule="exact"/>
        <w:rPr>
          <w:rFonts w:ascii="黑体" w:hAnsi="宋体" w:eastAsia="黑体"/>
          <w:bCs/>
          <w:szCs w:val="21"/>
        </w:rPr>
      </w:pPr>
    </w:p>
    <w:p>
      <w:pPr>
        <w:snapToGrid w:val="0"/>
        <w:spacing w:line="480" w:lineRule="exact"/>
        <w:rPr>
          <w:rFonts w:ascii="黑体" w:hAnsi="宋体" w:eastAsia="黑体"/>
          <w:bCs/>
          <w:szCs w:val="21"/>
        </w:rPr>
      </w:pPr>
      <w:r>
        <w:rPr>
          <w:rFonts w:hint="eastAsia" w:ascii="黑体" w:hAnsi="宋体" w:eastAsia="黑体"/>
          <w:bCs/>
          <w:szCs w:val="21"/>
        </w:rPr>
        <w:t>8 异议处理</w:t>
      </w:r>
    </w:p>
    <w:p>
      <w:pPr>
        <w:snapToGrid w:val="0"/>
        <w:spacing w:line="480" w:lineRule="exact"/>
        <w:ind w:firstLine="420" w:firstLineChars="200"/>
        <w:rPr>
          <w:rFonts w:ascii="宋体" w:hAnsi="宋体"/>
          <w:bCs/>
          <w:color w:val="000000"/>
          <w:szCs w:val="21"/>
        </w:rPr>
      </w:pPr>
      <w:r>
        <w:rPr>
          <w:rFonts w:hint="eastAsia" w:ascii="宋体" w:hAnsi="宋体"/>
          <w:bCs/>
          <w:color w:val="000000"/>
          <w:szCs w:val="21"/>
        </w:rPr>
        <w:t>对判定不合格产品进行复检时，按以下方式进行：</w:t>
      </w:r>
    </w:p>
    <w:p>
      <w:pPr>
        <w:widowControl/>
        <w:spacing w:line="480" w:lineRule="exact"/>
        <w:jc w:val="lef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核查不合格项目相关证据，能够以记录（纸质记录或电子记录或影像记录）或与不合格项目相关联的其它质量数据等检验证据证明的，由监督抽查组织部门根据核查情况作出异议处理决定。</w:t>
      </w:r>
    </w:p>
    <w:p>
      <w:pPr>
        <w:widowControl/>
        <w:spacing w:line="480" w:lineRule="exact"/>
        <w:jc w:val="left"/>
        <w:rPr>
          <w:rFonts w:ascii="宋体" w:hAnsi="宋体"/>
          <w:szCs w:val="21"/>
        </w:rPr>
      </w:pPr>
      <w:r>
        <w:rPr>
          <w:rFonts w:hint="eastAsia" w:ascii="宋体" w:hAnsi="宋体"/>
          <w:szCs w:val="21"/>
        </w:rPr>
        <w:t>8.2 对需要复检并具备检验条件的，监督抽查组织部门按照《产品质量监督抽查管理暂行办法》要求组织复检机构对抽取的备用样品进行复检，并出具检验报告。复检结论为最终结论。</w:t>
      </w:r>
    </w:p>
    <w:p>
      <w:pPr>
        <w:spacing w:line="480" w:lineRule="exact"/>
      </w:pPr>
    </w:p>
    <w:p>
      <w:pPr>
        <w:widowControl/>
        <w:spacing w:line="480" w:lineRule="exact"/>
        <w:jc w:val="left"/>
      </w:pPr>
    </w:p>
    <w:p>
      <w:pPr>
        <w:spacing w:line="480" w:lineRule="exact"/>
        <w:ind w:firstLine="640" w:firstLineChars="200"/>
        <w:rPr>
          <w:rFonts w:ascii="仿宋_GB2312" w:hAnsi="仿宋_GB2312" w:eastAsia="仿宋_GB2312"/>
          <w:color w:val="000000"/>
          <w:sz w:val="32"/>
          <w:szCs w:val="32"/>
        </w:rPr>
      </w:pPr>
    </w:p>
    <w:p>
      <w:pPr>
        <w:spacing w:line="480" w:lineRule="exact"/>
        <w:rPr>
          <w:rFonts w:ascii="仿宋_GB2312" w:eastAsia="仿宋_GB2312"/>
          <w:sz w:val="44"/>
          <w:szCs w:val="44"/>
        </w:rPr>
      </w:pPr>
    </w:p>
    <w:sectPr>
      <w:headerReference r:id="rId3" w:type="default"/>
      <w:footerReference r:id="rId4" w:type="default"/>
      <w:footerReference r:id="rId5" w:type="even"/>
      <w:pgSz w:w="11906" w:h="16838"/>
      <w:pgMar w:top="1134" w:right="1474" w:bottom="1134" w:left="1474" w:header="851" w:footer="851"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 Su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1"/>
        <w:rFonts w:ascii="宋体" w:hAnsi="宋体"/>
        <w:sz w:val="28"/>
        <w:szCs w:val="28"/>
      </w:rPr>
    </w:pPr>
    <w:r>
      <w:rPr>
        <w:rFonts w:ascii="宋体" w:hAnsi="宋体"/>
        <w:sz w:val="28"/>
        <w:szCs w:val="28"/>
      </w:rPr>
      <w:fldChar w:fldCharType="begin"/>
    </w:r>
    <w:r>
      <w:rPr>
        <w:rStyle w:val="11"/>
        <w:rFonts w:ascii="宋体" w:hAnsi="宋体"/>
        <w:sz w:val="28"/>
        <w:szCs w:val="28"/>
      </w:rPr>
      <w:instrText xml:space="preserve">PAGE  </w:instrText>
    </w:r>
    <w:r>
      <w:rPr>
        <w:rFonts w:ascii="宋体" w:hAnsi="宋体"/>
        <w:sz w:val="28"/>
        <w:szCs w:val="28"/>
      </w:rPr>
      <w:fldChar w:fldCharType="separate"/>
    </w:r>
    <w:r>
      <w:rPr>
        <w:rStyle w:val="11"/>
        <w:rFonts w:ascii="宋体" w:hAnsi="宋体"/>
        <w:sz w:val="28"/>
        <w:szCs w:val="28"/>
      </w:rPr>
      <w:t>- 4 -</w:t>
    </w:r>
    <w:r>
      <w:rPr>
        <w:rFonts w:ascii="宋体" w:hAnsi="宋体"/>
        <w:sz w:val="28"/>
        <w:szCs w:val="28"/>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46260FA"/>
    <w:multiLevelType w:val="multilevel"/>
    <w:tmpl w:val="646260FA"/>
    <w:lvl w:ilvl="0" w:tentative="0">
      <w:start w:val="1"/>
      <w:numFmt w:val="decimal"/>
      <w:pStyle w:val="1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50.253/weaver/weaver.file.FileDownloadForNews?uuid=3e7f206d-d5a7-4f43-9dca-0db6fae6f4e4&amp;fileid=69851&amp;type=document&amp;isofficeview=0"/>
    <w:docVar w:name="KSO_WPS_MARK_KEY" w:val="0c83b633-7b7e-4645-aee7-0615adfd178c"/>
  </w:docVars>
  <w:rsids>
    <w:rsidRoot w:val="00E52086"/>
    <w:rsid w:val="00004D1C"/>
    <w:rsid w:val="00026A76"/>
    <w:rsid w:val="00042851"/>
    <w:rsid w:val="00077F0D"/>
    <w:rsid w:val="000E4D01"/>
    <w:rsid w:val="0011378C"/>
    <w:rsid w:val="00142148"/>
    <w:rsid w:val="00152FE4"/>
    <w:rsid w:val="00174125"/>
    <w:rsid w:val="00195FA1"/>
    <w:rsid w:val="001C04B6"/>
    <w:rsid w:val="001D18B5"/>
    <w:rsid w:val="002137C8"/>
    <w:rsid w:val="0028227A"/>
    <w:rsid w:val="00284F9A"/>
    <w:rsid w:val="002C1149"/>
    <w:rsid w:val="00304982"/>
    <w:rsid w:val="00317D11"/>
    <w:rsid w:val="003959F4"/>
    <w:rsid w:val="003A43F5"/>
    <w:rsid w:val="0044182D"/>
    <w:rsid w:val="00441A5D"/>
    <w:rsid w:val="004544A8"/>
    <w:rsid w:val="004C720F"/>
    <w:rsid w:val="004D082D"/>
    <w:rsid w:val="0055375E"/>
    <w:rsid w:val="00564A98"/>
    <w:rsid w:val="00575513"/>
    <w:rsid w:val="005D48C2"/>
    <w:rsid w:val="005D71B1"/>
    <w:rsid w:val="005D743B"/>
    <w:rsid w:val="006016E9"/>
    <w:rsid w:val="00614B31"/>
    <w:rsid w:val="00614F71"/>
    <w:rsid w:val="00695B5C"/>
    <w:rsid w:val="006A1703"/>
    <w:rsid w:val="00751B25"/>
    <w:rsid w:val="00781CCF"/>
    <w:rsid w:val="007C3247"/>
    <w:rsid w:val="007C3CC7"/>
    <w:rsid w:val="008251C4"/>
    <w:rsid w:val="008350B8"/>
    <w:rsid w:val="00835856"/>
    <w:rsid w:val="00836540"/>
    <w:rsid w:val="008421DE"/>
    <w:rsid w:val="00897A01"/>
    <w:rsid w:val="008B2012"/>
    <w:rsid w:val="008F619D"/>
    <w:rsid w:val="00915A4F"/>
    <w:rsid w:val="00937BEF"/>
    <w:rsid w:val="00966AC1"/>
    <w:rsid w:val="00970531"/>
    <w:rsid w:val="009828CA"/>
    <w:rsid w:val="009926B4"/>
    <w:rsid w:val="00A4211E"/>
    <w:rsid w:val="00AC4523"/>
    <w:rsid w:val="00B14D75"/>
    <w:rsid w:val="00B35529"/>
    <w:rsid w:val="00B71532"/>
    <w:rsid w:val="00BD170C"/>
    <w:rsid w:val="00C23FE9"/>
    <w:rsid w:val="00C62483"/>
    <w:rsid w:val="00CA11D3"/>
    <w:rsid w:val="00CA7644"/>
    <w:rsid w:val="00CE3169"/>
    <w:rsid w:val="00D657E0"/>
    <w:rsid w:val="00D65B41"/>
    <w:rsid w:val="00D9763E"/>
    <w:rsid w:val="00E52086"/>
    <w:rsid w:val="00E64BAB"/>
    <w:rsid w:val="00E81538"/>
    <w:rsid w:val="00EC39AD"/>
    <w:rsid w:val="00EC65EB"/>
    <w:rsid w:val="00ED7323"/>
    <w:rsid w:val="00F0224A"/>
    <w:rsid w:val="00F47DD2"/>
    <w:rsid w:val="00F72113"/>
    <w:rsid w:val="00F74988"/>
    <w:rsid w:val="00F77C72"/>
    <w:rsid w:val="00FA4FF6"/>
    <w:rsid w:val="00FA5E22"/>
    <w:rsid w:val="00FB666B"/>
    <w:rsid w:val="00FD5E59"/>
    <w:rsid w:val="00FF073E"/>
    <w:rsid w:val="015F5D3E"/>
    <w:rsid w:val="0365469B"/>
    <w:rsid w:val="08DB1551"/>
    <w:rsid w:val="0B8B2C94"/>
    <w:rsid w:val="0D276C00"/>
    <w:rsid w:val="10675049"/>
    <w:rsid w:val="15787B41"/>
    <w:rsid w:val="16735DF4"/>
    <w:rsid w:val="19AE18B8"/>
    <w:rsid w:val="1BC0766F"/>
    <w:rsid w:val="1C596CD0"/>
    <w:rsid w:val="1C9443A2"/>
    <w:rsid w:val="1D841275"/>
    <w:rsid w:val="1F59775D"/>
    <w:rsid w:val="20553B97"/>
    <w:rsid w:val="20F81FA6"/>
    <w:rsid w:val="24622EE3"/>
    <w:rsid w:val="254407EE"/>
    <w:rsid w:val="28092E2A"/>
    <w:rsid w:val="2F6C1C2B"/>
    <w:rsid w:val="32F01239"/>
    <w:rsid w:val="334E1652"/>
    <w:rsid w:val="337C6AE8"/>
    <w:rsid w:val="3A6FB863"/>
    <w:rsid w:val="3DF40A19"/>
    <w:rsid w:val="3E870618"/>
    <w:rsid w:val="44B236B4"/>
    <w:rsid w:val="48E11887"/>
    <w:rsid w:val="4A85566F"/>
    <w:rsid w:val="4D852D40"/>
    <w:rsid w:val="4F08472D"/>
    <w:rsid w:val="4FC554DD"/>
    <w:rsid w:val="50483A1D"/>
    <w:rsid w:val="51AC13B4"/>
    <w:rsid w:val="5278486F"/>
    <w:rsid w:val="52B058AA"/>
    <w:rsid w:val="52D240A6"/>
    <w:rsid w:val="53D44FA0"/>
    <w:rsid w:val="58857A21"/>
    <w:rsid w:val="5C211F79"/>
    <w:rsid w:val="5F5552C1"/>
    <w:rsid w:val="62230D90"/>
    <w:rsid w:val="627743D7"/>
    <w:rsid w:val="64FF207F"/>
    <w:rsid w:val="663649F5"/>
    <w:rsid w:val="666D1F3E"/>
    <w:rsid w:val="67FB47C2"/>
    <w:rsid w:val="68A7611A"/>
    <w:rsid w:val="68B9661C"/>
    <w:rsid w:val="6A854F46"/>
    <w:rsid w:val="6C0F5816"/>
    <w:rsid w:val="6F4A1816"/>
    <w:rsid w:val="6F765CC5"/>
    <w:rsid w:val="6FCF1362"/>
    <w:rsid w:val="71E06A3C"/>
    <w:rsid w:val="72841182"/>
    <w:rsid w:val="75E14B2C"/>
    <w:rsid w:val="7A2D0795"/>
    <w:rsid w:val="7EFCE763"/>
    <w:rsid w:val="7F1C6B23"/>
    <w:rsid w:val="7FCDA8D2"/>
    <w:rsid w:val="8F7114F8"/>
    <w:rsid w:val="98CA38BF"/>
    <w:rsid w:val="AEBFB802"/>
    <w:rsid w:val="E5E9757D"/>
    <w:rsid w:val="E76E25EB"/>
    <w:rsid w:val="E9B93710"/>
    <w:rsid w:val="EBB749D0"/>
    <w:rsid w:val="EDFE3747"/>
    <w:rsid w:val="FA7B0DC2"/>
    <w:rsid w:val="FDFA8053"/>
    <w:rsid w:val="FFF693D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rFonts w:ascii="Calibri" w:hAnsi="Calibri"/>
      <w:b/>
      <w:bCs/>
      <w:sz w:val="32"/>
      <w:szCs w:val="32"/>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3"/>
    <w:autoRedefine/>
    <w:qFormat/>
    <w:uiPriority w:val="0"/>
    <w:rPr>
      <w:sz w:val="18"/>
      <w:szCs w:val="18"/>
    </w:rPr>
  </w:style>
  <w:style w:type="paragraph" w:styleId="4">
    <w:name w:val="footer"/>
    <w:basedOn w:val="1"/>
    <w:link w:val="14"/>
    <w:autoRedefine/>
    <w:qFormat/>
    <w:uiPriority w:val="99"/>
    <w:pPr>
      <w:tabs>
        <w:tab w:val="center" w:pos="4153"/>
        <w:tab w:val="right" w:pos="8306"/>
      </w:tabs>
      <w:snapToGrid w:val="0"/>
      <w:jc w:val="left"/>
    </w:pPr>
    <w:rPr>
      <w:sz w:val="18"/>
      <w:szCs w:val="18"/>
    </w:rPr>
  </w:style>
  <w:style w:type="paragraph" w:styleId="5">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autoRedefine/>
    <w:qFormat/>
    <w:uiPriority w:val="0"/>
    <w:rPr>
      <w:b/>
      <w:bCs/>
    </w:rPr>
  </w:style>
  <w:style w:type="character" w:styleId="11">
    <w:name w:val="page number"/>
    <w:basedOn w:val="9"/>
    <w:autoRedefine/>
    <w:qFormat/>
    <w:uiPriority w:val="0"/>
  </w:style>
  <w:style w:type="character" w:styleId="12">
    <w:name w:val="Hyperlink"/>
    <w:autoRedefine/>
    <w:qFormat/>
    <w:uiPriority w:val="0"/>
    <w:rPr>
      <w:color w:val="0000FF"/>
      <w:u w:val="single"/>
    </w:rPr>
  </w:style>
  <w:style w:type="character" w:customStyle="1" w:styleId="13">
    <w:name w:val="批注框文本 Char"/>
    <w:link w:val="3"/>
    <w:autoRedefine/>
    <w:qFormat/>
    <w:uiPriority w:val="0"/>
    <w:rPr>
      <w:kern w:val="2"/>
      <w:sz w:val="18"/>
      <w:szCs w:val="18"/>
    </w:rPr>
  </w:style>
  <w:style w:type="character" w:customStyle="1" w:styleId="14">
    <w:name w:val="页脚 Char"/>
    <w:link w:val="4"/>
    <w:autoRedefine/>
    <w:qFormat/>
    <w:uiPriority w:val="99"/>
    <w:rPr>
      <w:kern w:val="2"/>
      <w:sz w:val="18"/>
      <w:szCs w:val="18"/>
    </w:rPr>
  </w:style>
  <w:style w:type="character" w:customStyle="1" w:styleId="15">
    <w:name w:val="页眉 Char"/>
    <w:link w:val="5"/>
    <w:autoRedefine/>
    <w:qFormat/>
    <w:uiPriority w:val="0"/>
    <w:rPr>
      <w:kern w:val="2"/>
      <w:sz w:val="18"/>
      <w:szCs w:val="18"/>
    </w:rPr>
  </w:style>
  <w:style w:type="character" w:customStyle="1" w:styleId="16">
    <w:name w:val="段 Char"/>
    <w:link w:val="17"/>
    <w:autoRedefine/>
    <w:qFormat/>
    <w:uiPriority w:val="0"/>
    <w:rPr>
      <w:rFonts w:ascii="宋体" w:hAnsi="Calibri" w:eastAsia="宋体" w:cs="Times New Roman"/>
      <w:sz w:val="21"/>
      <w:lang w:bidi="ar-SA"/>
    </w:rPr>
  </w:style>
  <w:style w:type="paragraph" w:customStyle="1" w:styleId="17">
    <w:name w:val="段"/>
    <w:link w:val="16"/>
    <w:autoRedefine/>
    <w:qFormat/>
    <w:uiPriority w:val="0"/>
    <w:pPr>
      <w:tabs>
        <w:tab w:val="center" w:pos="4201"/>
        <w:tab w:val="right" w:leader="dot" w:pos="9298"/>
      </w:tabs>
      <w:autoSpaceDE w:val="0"/>
      <w:autoSpaceDN w:val="0"/>
      <w:ind w:firstLine="420" w:firstLineChars="200"/>
      <w:jc w:val="both"/>
    </w:pPr>
    <w:rPr>
      <w:rFonts w:ascii="宋体" w:hAnsi="Calibri" w:eastAsia="Times New Roman" w:cs="Times New Roman"/>
      <w:sz w:val="21"/>
      <w:lang w:val="en-US" w:eastAsia="zh-CN" w:bidi="ar-SA"/>
    </w:rPr>
  </w:style>
  <w:style w:type="paragraph" w:customStyle="1" w:styleId="18">
    <w:name w:val="章标题"/>
    <w:next w:val="17"/>
    <w:autoRedefine/>
    <w:qFormat/>
    <w:uiPriority w:val="0"/>
    <w:pPr>
      <w:numPr>
        <w:ilvl w:val="0"/>
        <w:numId w:val="1"/>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19">
    <w:name w:val="正文表标题"/>
    <w:next w:val="17"/>
    <w:autoRedefine/>
    <w:qFormat/>
    <w:uiPriority w:val="0"/>
    <w:pPr>
      <w:numPr>
        <w:ilvl w:val="0"/>
        <w:numId w:val="2"/>
      </w:numPr>
      <w:tabs>
        <w:tab w:val="left" w:pos="360"/>
      </w:tabs>
      <w:spacing w:before="156" w:beforeLines="50" w:after="156" w:afterLines="50"/>
      <w:jc w:val="center"/>
    </w:pPr>
    <w:rPr>
      <w:rFonts w:ascii="黑体" w:hAnsi="Calibri" w:eastAsia="黑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cc</Company>
  <Pages>5</Pages>
  <Words>2921</Words>
  <Characters>804</Characters>
  <Lines>6</Lines>
  <Paragraphs>7</Paragraphs>
  <TotalTime>0</TotalTime>
  <ScaleCrop>false</ScaleCrop>
  <LinksUpToDate>false</LinksUpToDate>
  <CharactersWithSpaces>3718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2023-12-20T01:54:00Z</dcterms:created>
  <dc:creator>cc</dc:creator>
  <cp:lastModifiedBy>夏周妹</cp:lastModifiedBy>
  <cp:lastPrinted>2021-01-07T12:12:00Z</cp:lastPrinted>
  <dcterms:modified xsi:type="dcterms:W3CDTF">2024-03-01T05:40:28Z</dcterms:modified>
  <dc:title>关于在全区质量技术监督系统开展电子邮件公文传输的通知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5CDDF3687895495B8FE892CA19FE1358</vt:lpwstr>
  </property>
</Properties>
</file>