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黑体" w:hAnsi="黑体" w:eastAsia="黑体" w:cs="方正小标宋_GBK"/>
          <w:b w:val="0"/>
          <w:bCs w:val="0"/>
          <w:color w:val="auto"/>
          <w:sz w:val="36"/>
          <w:szCs w:val="36"/>
          <w:highlight w:val="none"/>
        </w:rPr>
      </w:pPr>
      <w:bookmarkStart w:id="0" w:name="_GoBack"/>
      <w:r>
        <w:rPr>
          <w:rFonts w:hint="eastAsia" w:ascii="黑体" w:hAnsi="黑体" w:eastAsia="黑体" w:cs="方正小标宋_GBK"/>
          <w:b w:val="0"/>
          <w:bCs w:val="0"/>
          <w:color w:val="auto"/>
          <w:sz w:val="36"/>
          <w:szCs w:val="36"/>
          <w:highlight w:val="none"/>
          <w:lang w:val="en-US" w:eastAsia="zh-CN"/>
        </w:rPr>
        <w:t>2025</w:t>
      </w:r>
      <w:r>
        <w:rPr>
          <w:rFonts w:hint="eastAsia" w:ascii="黑体" w:hAnsi="黑体" w:eastAsia="黑体" w:cs="方正小标宋_GBK"/>
          <w:b w:val="0"/>
          <w:bCs w:val="0"/>
          <w:color w:val="auto"/>
          <w:sz w:val="36"/>
          <w:szCs w:val="36"/>
          <w:highlight w:val="none"/>
        </w:rPr>
        <w:t>年</w:t>
      </w:r>
      <w:r>
        <w:rPr>
          <w:rFonts w:hint="eastAsia" w:ascii="黑体" w:hAnsi="黑体" w:eastAsia="黑体" w:cs="方正小标宋_GBK"/>
          <w:b w:val="0"/>
          <w:bCs w:val="0"/>
          <w:color w:val="auto"/>
          <w:sz w:val="36"/>
          <w:szCs w:val="36"/>
          <w:highlight w:val="none"/>
        </w:rPr>
        <w:t>汽车电线束产品质量广西监督抽查实施细则</w:t>
      </w:r>
    </w:p>
    <w:p>
      <w:pPr>
        <w:rPr>
          <w:color w:val="auto"/>
          <w:highlight w:val="none"/>
        </w:rPr>
      </w:pPr>
    </w:p>
    <w:p>
      <w:pPr>
        <w:numPr>
          <w:ilvl w:val="0"/>
          <w:numId w:val="2"/>
        </w:numPr>
        <w:snapToGrid w:val="0"/>
        <w:spacing w:line="440" w:lineRule="exact"/>
        <w:rPr>
          <w:rFonts w:ascii="黑体" w:hAnsi="宋体" w:eastAsia="黑体"/>
          <w:color w:val="auto"/>
          <w:szCs w:val="21"/>
          <w:highlight w:val="none"/>
        </w:rPr>
      </w:pPr>
      <w:r>
        <w:rPr>
          <w:rFonts w:hint="eastAsia" w:ascii="黑体" w:hAnsi="宋体" w:eastAsia="黑体"/>
          <w:color w:val="auto"/>
          <w:szCs w:val="21"/>
          <w:highlight w:val="none"/>
        </w:rPr>
        <w:t>范围</w:t>
      </w:r>
    </w:p>
    <w:p>
      <w:pPr>
        <w:snapToGrid w:val="0"/>
        <w:spacing w:line="44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本细则适用于汽车电线束产品质量广西监督抽查，其他市场监管部门组织的及针对特殊情况的监督抽查可参考本细则执行。监督抽查产品范围为汽车电线束产品。本细则内容包括产品种类、术语和定义、检验依据、抽样、检验要求、判定原则、异议处理。</w:t>
      </w:r>
    </w:p>
    <w:p>
      <w:pPr>
        <w:snapToGrid w:val="0"/>
        <w:spacing w:line="440" w:lineRule="exact"/>
        <w:rPr>
          <w:rFonts w:ascii="黑体" w:hAnsi="宋体" w:eastAsia="黑体"/>
          <w:color w:val="auto"/>
          <w:szCs w:val="21"/>
          <w:highlight w:val="none"/>
        </w:rPr>
      </w:pPr>
      <w:r>
        <w:rPr>
          <w:rFonts w:hint="eastAsia" w:ascii="黑体" w:hAnsi="宋体" w:eastAsia="黑体"/>
          <w:color w:val="auto"/>
          <w:szCs w:val="21"/>
          <w:highlight w:val="none"/>
        </w:rPr>
        <w:t>2  产品种类</w:t>
      </w:r>
    </w:p>
    <w:p>
      <w:pPr>
        <w:pStyle w:val="9"/>
        <w:spacing w:line="480" w:lineRule="exact"/>
        <w:rPr>
          <w:rFonts w:hAnsi="宋体" w:cs="宋体"/>
          <w:color w:val="auto"/>
          <w:highlight w:val="none"/>
        </w:rPr>
      </w:pPr>
      <w:r>
        <w:rPr>
          <w:rFonts w:hint="eastAsia" w:hAnsi="宋体" w:cs="宋体"/>
          <w:color w:val="auto"/>
          <w:highlight w:val="none"/>
        </w:rPr>
        <w:t>本次监督抽查</w:t>
      </w:r>
      <w:r>
        <w:rPr>
          <w:rFonts w:hint="eastAsia" w:hAnsi="宋体"/>
          <w:color w:val="auto"/>
          <w:szCs w:val="21"/>
          <w:highlight w:val="none"/>
        </w:rPr>
        <w:t>汽车电线束产品</w:t>
      </w:r>
      <w:r>
        <w:rPr>
          <w:rFonts w:hint="eastAsia" w:hAnsi="宋体" w:cs="宋体"/>
          <w:color w:val="auto"/>
          <w:highlight w:val="none"/>
        </w:rPr>
        <w:t>包括以下产品类型：</w:t>
      </w:r>
    </w:p>
    <w:p>
      <w:pPr>
        <w:pStyle w:val="9"/>
        <w:spacing w:line="480" w:lineRule="exact"/>
        <w:rPr>
          <w:color w:val="auto"/>
          <w:highlight w:val="none"/>
        </w:rPr>
      </w:pPr>
      <w:r>
        <w:rPr>
          <w:rFonts w:hint="eastAsia" w:hAnsi="宋体" w:cs="宋体"/>
          <w:color w:val="auto"/>
          <w:highlight w:val="none"/>
        </w:rPr>
        <w:t>——</w:t>
      </w:r>
      <w:r>
        <w:rPr>
          <w:rFonts w:hint="eastAsia" w:hAnsi="宋体" w:cs="宋体"/>
          <w:color w:val="auto"/>
          <w:szCs w:val="21"/>
          <w:highlight w:val="none"/>
        </w:rPr>
        <w:t>标称电压低于50V的各种汽车用电线束（含单根线组件）</w:t>
      </w:r>
      <w:r>
        <w:rPr>
          <w:rFonts w:hint="eastAsia"/>
          <w:color w:val="auto"/>
          <w:highlight w:val="none"/>
        </w:rPr>
        <w:t>。</w:t>
      </w:r>
    </w:p>
    <w:p>
      <w:pPr>
        <w:snapToGrid w:val="0"/>
        <w:spacing w:line="440" w:lineRule="exact"/>
        <w:rPr>
          <w:rFonts w:ascii="黑体" w:hAnsi="宋体" w:eastAsia="黑体"/>
          <w:color w:val="auto"/>
          <w:szCs w:val="21"/>
          <w:highlight w:val="none"/>
        </w:rPr>
      </w:pPr>
      <w:r>
        <w:rPr>
          <w:rFonts w:hint="eastAsia" w:ascii="黑体" w:hAnsi="宋体" w:eastAsia="黑体"/>
          <w:color w:val="auto"/>
          <w:szCs w:val="21"/>
          <w:highlight w:val="none"/>
        </w:rPr>
        <w:t>3 术语和定义</w:t>
      </w:r>
    </w:p>
    <w:p>
      <w:pPr>
        <w:spacing w:line="400" w:lineRule="exact"/>
        <w:ind w:firstLine="420" w:firstLineChars="200"/>
        <w:rPr>
          <w:color w:val="auto"/>
          <w:highlight w:val="none"/>
        </w:rPr>
      </w:pPr>
      <w:r>
        <w:rPr>
          <w:rFonts w:hint="eastAsia"/>
          <w:color w:val="auto"/>
          <w:highlight w:val="none"/>
        </w:rPr>
        <w:t>本细则中未列出的术语和定义同相关引用标准。</w:t>
      </w:r>
    </w:p>
    <w:p>
      <w:pPr>
        <w:snapToGrid w:val="0"/>
        <w:spacing w:line="440" w:lineRule="atLeast"/>
        <w:rPr>
          <w:rFonts w:ascii="黑体" w:hAnsi="宋体" w:eastAsia="黑体"/>
          <w:color w:val="auto"/>
          <w:szCs w:val="21"/>
          <w:highlight w:val="none"/>
        </w:rPr>
      </w:pPr>
      <w:r>
        <w:rPr>
          <w:rFonts w:hint="eastAsia" w:ascii="黑体" w:hAnsi="宋体" w:eastAsia="黑体"/>
          <w:color w:val="auto"/>
          <w:szCs w:val="21"/>
          <w:highlight w:val="none"/>
        </w:rPr>
        <w:t>4 检验依据</w:t>
      </w:r>
    </w:p>
    <w:p>
      <w:pPr>
        <w:snapToGrid w:val="0"/>
        <w:spacing w:line="440" w:lineRule="atLeast"/>
        <w:ind w:firstLine="420" w:firstLineChars="200"/>
        <w:rPr>
          <w:rFonts w:ascii="宋体" w:hAnsi="宋体"/>
          <w:color w:val="auto"/>
          <w:szCs w:val="21"/>
          <w:highlight w:val="none"/>
        </w:rPr>
      </w:pPr>
      <w:r>
        <w:rPr>
          <w:rFonts w:hint="eastAsia" w:ascii="宋体" w:hAnsi="宋体"/>
          <w:color w:val="auto"/>
          <w:szCs w:val="21"/>
          <w:highlight w:val="none"/>
        </w:rPr>
        <w:t>凡是注日期的文件，其随后所有的修改单（不包括勘误的内容）或修订版不适用于本细则。凡是不注日期的引用文件，其最新版本适用于本细则。</w:t>
      </w:r>
    </w:p>
    <w:p>
      <w:pPr>
        <w:snapToGrid w:val="0"/>
        <w:spacing w:line="440" w:lineRule="atLeast"/>
        <w:ind w:firstLine="420" w:firstLineChars="200"/>
        <w:rPr>
          <w:rFonts w:ascii="宋体" w:hAnsi="宋体"/>
          <w:color w:val="auto"/>
          <w:szCs w:val="21"/>
          <w:highlight w:val="none"/>
        </w:rPr>
      </w:pPr>
      <w:r>
        <w:rPr>
          <w:rFonts w:ascii="Times New Roman" w:hAnsi="Times New Roman"/>
          <w:color w:val="auto"/>
          <w:szCs w:val="21"/>
          <w:highlight w:val="none"/>
        </w:rPr>
        <w:t xml:space="preserve">QC/T 29106-2014  </w:t>
      </w:r>
      <w:r>
        <w:rPr>
          <w:rFonts w:hint="eastAsia"/>
          <w:color w:val="auto"/>
          <w:szCs w:val="21"/>
          <w:highlight w:val="none"/>
        </w:rPr>
        <w:t>汽车电线束技术条件</w:t>
      </w:r>
    </w:p>
    <w:p>
      <w:pPr>
        <w:snapToGrid w:val="0"/>
        <w:spacing w:line="440" w:lineRule="atLeast"/>
        <w:ind w:firstLine="420" w:firstLineChars="200"/>
        <w:rPr>
          <w:rFonts w:ascii="宋体" w:hAnsi="宋体"/>
          <w:color w:val="auto"/>
          <w:szCs w:val="21"/>
          <w:highlight w:val="none"/>
        </w:rPr>
      </w:pPr>
      <w:r>
        <w:rPr>
          <w:rFonts w:hint="eastAsia" w:ascii="宋体" w:hAnsi="宋体" w:cs="宋体"/>
          <w:bCs/>
          <w:color w:val="auto"/>
          <w:highlight w:val="none"/>
          <w:lang w:val="zh-CN"/>
        </w:rPr>
        <w:t>相关的法律法规、部门规章和规范</w:t>
      </w:r>
    </w:p>
    <w:p>
      <w:pPr>
        <w:snapToGrid w:val="0"/>
        <w:spacing w:line="440" w:lineRule="atLeas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现行有效的企业标准、团体标准、地方标准及产品明示质量要求</w:t>
      </w:r>
    </w:p>
    <w:p>
      <w:pPr>
        <w:snapToGrid w:val="0"/>
        <w:spacing w:line="440" w:lineRule="atLeast"/>
        <w:rPr>
          <w:rFonts w:ascii="黑体" w:hAnsi="宋体" w:eastAsia="黑体"/>
          <w:color w:val="auto"/>
          <w:szCs w:val="21"/>
          <w:highlight w:val="none"/>
        </w:rPr>
      </w:pPr>
      <w:r>
        <w:rPr>
          <w:rFonts w:hint="eastAsia" w:ascii="黑体" w:hAnsi="宋体" w:eastAsia="黑体"/>
          <w:color w:val="auto"/>
          <w:szCs w:val="21"/>
          <w:highlight w:val="none"/>
        </w:rPr>
        <w:t>5  抽样</w:t>
      </w:r>
    </w:p>
    <w:p>
      <w:pPr>
        <w:snapToGrid w:val="0"/>
        <w:spacing w:line="440" w:lineRule="atLeast"/>
        <w:rPr>
          <w:rFonts w:ascii="宋体" w:hAnsi="宋体"/>
          <w:color w:val="auto"/>
          <w:szCs w:val="21"/>
          <w:highlight w:val="none"/>
        </w:rPr>
      </w:pPr>
      <w:r>
        <w:rPr>
          <w:rFonts w:hint="eastAsia" w:ascii="宋体" w:hAnsi="宋体"/>
          <w:color w:val="auto"/>
          <w:szCs w:val="21"/>
          <w:highlight w:val="none"/>
        </w:rPr>
        <w:t>5.1 抽样型号或规格</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hAnsi="宋体"/>
          <w:color w:val="auto"/>
          <w:szCs w:val="21"/>
          <w:highlight w:val="none"/>
        </w:rPr>
      </w:pPr>
      <w:r>
        <w:rPr>
          <w:rFonts w:hint="eastAsia" w:hAnsi="宋体"/>
          <w:color w:val="auto"/>
          <w:szCs w:val="21"/>
          <w:highlight w:val="none"/>
        </w:rPr>
        <w:t>应抽取按照同一标准生产的同一商标、同一规格型号的产品。抽样型号或规格应符合 QC/T 29106-2014 的规定，优先抽取企业主导产品的型号规格。</w:t>
      </w:r>
    </w:p>
    <w:p>
      <w:pPr>
        <w:snapToGrid w:val="0"/>
        <w:spacing w:line="440" w:lineRule="exact"/>
        <w:rPr>
          <w:rFonts w:ascii="宋体" w:hAnsi="宋体"/>
          <w:color w:val="auto"/>
          <w:szCs w:val="21"/>
          <w:highlight w:val="none"/>
        </w:rPr>
      </w:pPr>
      <w:r>
        <w:rPr>
          <w:rFonts w:hint="eastAsia" w:ascii="宋体" w:hAnsi="宋体"/>
          <w:color w:val="auto"/>
          <w:szCs w:val="21"/>
          <w:highlight w:val="none"/>
        </w:rPr>
        <w:t>5.2 抽样方法、基数、数量及注意事项</w:t>
      </w:r>
    </w:p>
    <w:p>
      <w:pPr>
        <w:spacing w:line="440" w:lineRule="exact"/>
        <w:rPr>
          <w:rFonts w:ascii="宋体" w:hAnsi="宋体"/>
          <w:color w:val="auto"/>
          <w:szCs w:val="21"/>
          <w:highlight w:val="none"/>
        </w:rPr>
      </w:pPr>
      <w:r>
        <w:rPr>
          <w:rFonts w:hint="eastAsia" w:ascii="宋体" w:hAnsi="宋体"/>
          <w:color w:val="auto"/>
          <w:szCs w:val="21"/>
          <w:highlight w:val="none"/>
        </w:rPr>
        <w:t>5.2.1 抽样方法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Sim Sun"/>
          <w:color w:val="auto"/>
          <w:kern w:val="0"/>
          <w:szCs w:val="21"/>
          <w:highlight w:val="none"/>
        </w:rPr>
      </w:pPr>
      <w:r>
        <w:rPr>
          <w:rFonts w:hint="eastAsia" w:ascii="宋体" w:hAnsi="宋体" w:cs="Sim Sun"/>
          <w:color w:val="auto"/>
          <w:kern w:val="0"/>
          <w:szCs w:val="21"/>
          <w:highlight w:val="none"/>
        </w:rPr>
        <w:t>在企业成品库内或成品堆放区随机抽取有产品质量检验合格证明或者以其他形式表明已检验合格的、近期生产的产品（特殊情况除外）。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Sim Sun"/>
          <w:color w:val="auto"/>
          <w:kern w:val="0"/>
          <w:szCs w:val="21"/>
          <w:highlight w:val="none"/>
        </w:rPr>
      </w:pPr>
      <w:r>
        <w:rPr>
          <w:rFonts w:hint="eastAsia" w:ascii="宋体" w:hAnsi="宋体" w:cs="Sim Sun"/>
          <w:color w:val="auto"/>
          <w:kern w:val="0"/>
          <w:szCs w:val="21"/>
          <w:highlight w:val="none"/>
        </w:rPr>
        <w:t>随机数一般可使用随机数表、骰子、随机数发生器（手机软件及科学计算器等）或扑克牌等方法产生。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Sim Sun"/>
          <w:color w:val="auto"/>
          <w:kern w:val="0"/>
          <w:szCs w:val="21"/>
          <w:highlight w:val="none"/>
        </w:rPr>
      </w:pPr>
      <w:r>
        <w:rPr>
          <w:rFonts w:hint="eastAsia" w:ascii="宋体" w:hAnsi="宋体" w:cs="Sim Sun"/>
          <w:color w:val="auto"/>
          <w:kern w:val="0"/>
          <w:szCs w:val="21"/>
          <w:highlight w:val="none"/>
        </w:rPr>
        <w:t>在流通领域抽取经企业检验合格或以任何方式表明合格（合格证、合格报告、企业相关人员确认等方式均可）的产品。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Sim Sun"/>
          <w:color w:val="auto"/>
          <w:kern w:val="0"/>
          <w:szCs w:val="21"/>
          <w:highlight w:val="none"/>
        </w:rPr>
      </w:pPr>
      <w:r>
        <w:rPr>
          <w:rFonts w:hint="eastAsia" w:ascii="宋体" w:hAnsi="宋体" w:cs="Sim Sun"/>
          <w:color w:val="auto"/>
          <w:kern w:val="0"/>
          <w:szCs w:val="21"/>
          <w:highlight w:val="none"/>
        </w:rPr>
        <w:t>所抽取产品的保质期（未注明保质期的按尚在保质期内处理）应能确保整个监督抽查（包含异议处理）工作的完成，原则上距离失效日期不少于半年（保质期较短的产品除外）。</w:t>
      </w:r>
    </w:p>
    <w:p>
      <w:pPr>
        <w:spacing w:line="440" w:lineRule="exact"/>
        <w:rPr>
          <w:rFonts w:ascii="宋体" w:hAnsi="宋体"/>
          <w:color w:val="auto"/>
          <w:szCs w:val="21"/>
          <w:highlight w:val="none"/>
        </w:rPr>
      </w:pPr>
      <w:r>
        <w:rPr>
          <w:rFonts w:hint="eastAsia" w:ascii="宋体" w:hAnsi="宋体"/>
          <w:color w:val="auto"/>
          <w:szCs w:val="21"/>
          <w:highlight w:val="none"/>
        </w:rPr>
        <w:t>5.2.2 抽样基数</w:t>
      </w:r>
    </w:p>
    <w:p>
      <w:pPr>
        <w:snapToGrid w:val="0"/>
        <w:spacing w:line="440" w:lineRule="exact"/>
        <w:rPr>
          <w:rFonts w:hint="eastAsia"/>
          <w:color w:val="auto"/>
          <w:szCs w:val="21"/>
          <w:highlight w:val="none"/>
        </w:rPr>
      </w:pPr>
      <w:r>
        <w:rPr>
          <w:rFonts w:hint="eastAsia"/>
          <w:color w:val="auto"/>
          <w:szCs w:val="21"/>
          <w:highlight w:val="none"/>
        </w:rPr>
        <w:t>抽样基数满足抽样数量即可。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5.2.3 抽样数量</w:t>
      </w:r>
    </w:p>
    <w:p>
      <w:pPr>
        <w:snapToGrid w:val="0"/>
        <w:spacing w:line="440" w:lineRule="exact"/>
        <w:ind w:firstLine="420" w:firstLineChars="200"/>
        <w:rPr>
          <w:rFonts w:ascii="宋体" w:hAnsi="宋体"/>
          <w:color w:val="auto"/>
          <w:szCs w:val="21"/>
          <w:highlight w:val="none"/>
        </w:rPr>
      </w:pPr>
      <w:r>
        <w:rPr>
          <w:rFonts w:hint="eastAsia" w:ascii="宋体" w:hAnsi="宋体"/>
          <w:color w:val="auto"/>
          <w:highlight w:val="none"/>
        </w:rPr>
        <w:t>在生产企业或市场上抽样时，</w:t>
      </w:r>
      <w:r>
        <w:rPr>
          <w:rFonts w:hint="eastAsia" w:ascii="宋体" w:hAnsi="宋体"/>
          <w:color w:val="auto"/>
          <w:szCs w:val="21"/>
          <w:highlight w:val="none"/>
        </w:rPr>
        <w:t>抽样数量每个规格型</w:t>
      </w:r>
      <w:r>
        <w:rPr>
          <w:rFonts w:hint="eastAsia" w:ascii="宋体" w:hAnsi="宋体"/>
          <w:color w:val="auto"/>
          <w:szCs w:val="21"/>
          <w:highlight w:val="none"/>
        </w:rPr>
        <w:t>号为</w:t>
      </w:r>
      <w:r>
        <w:rPr>
          <w:rFonts w:hint="eastAsia" w:ascii="宋体" w:hAnsi="宋体"/>
          <w:color w:val="auto"/>
          <w:szCs w:val="21"/>
          <w:highlight w:val="none"/>
          <w:lang w:val="en-US" w:eastAsia="zh-CN"/>
        </w:rPr>
        <w:t>6</w:t>
      </w:r>
      <w:r>
        <w:rPr>
          <w:rFonts w:hint="eastAsia" w:ascii="宋体" w:hAnsi="宋体"/>
          <w:color w:val="auto"/>
          <w:szCs w:val="21"/>
          <w:highlight w:val="none"/>
        </w:rPr>
        <w:t>套，</w:t>
      </w:r>
      <w:r>
        <w:rPr>
          <w:rFonts w:hint="eastAsia" w:ascii="宋体" w:hAnsi="宋体"/>
          <w:color w:val="auto"/>
          <w:szCs w:val="21"/>
          <w:highlight w:val="none"/>
        </w:rPr>
        <w:t>其</w:t>
      </w:r>
      <w:r>
        <w:rPr>
          <w:rFonts w:hint="eastAsia" w:ascii="宋体" w:hAnsi="宋体"/>
          <w:color w:val="auto"/>
          <w:szCs w:val="21"/>
          <w:highlight w:val="none"/>
        </w:rPr>
        <w:t>中</w:t>
      </w:r>
      <w:r>
        <w:rPr>
          <w:rFonts w:hint="eastAsia" w:ascii="宋体" w:hAnsi="宋体"/>
          <w:color w:val="auto"/>
          <w:szCs w:val="21"/>
          <w:highlight w:val="none"/>
          <w:lang w:val="en-US" w:eastAsia="zh-CN"/>
        </w:rPr>
        <w:t>3</w:t>
      </w:r>
      <w:r>
        <w:rPr>
          <w:rFonts w:hint="eastAsia" w:ascii="宋体" w:hAnsi="宋体"/>
          <w:color w:val="auto"/>
          <w:szCs w:val="21"/>
          <w:highlight w:val="none"/>
        </w:rPr>
        <w:t>套</w:t>
      </w:r>
      <w:r>
        <w:rPr>
          <w:rFonts w:hint="eastAsia" w:ascii="宋体" w:hAnsi="宋体"/>
          <w:color w:val="auto"/>
          <w:szCs w:val="21"/>
          <w:highlight w:val="none"/>
        </w:rPr>
        <w:t>作为检验样品，</w:t>
      </w:r>
      <w:r>
        <w:rPr>
          <w:rFonts w:hint="eastAsia" w:ascii="宋体" w:hAnsi="宋体"/>
          <w:color w:val="auto"/>
          <w:szCs w:val="21"/>
          <w:highlight w:val="none"/>
          <w:lang w:val="en-US" w:eastAsia="zh-CN"/>
        </w:rPr>
        <w:t>3</w:t>
      </w:r>
      <w:r>
        <w:rPr>
          <w:rFonts w:hint="eastAsia" w:ascii="宋体" w:hAnsi="宋体"/>
          <w:color w:val="auto"/>
          <w:szCs w:val="21"/>
          <w:highlight w:val="none"/>
        </w:rPr>
        <w:t>套</w:t>
      </w:r>
      <w:r>
        <w:rPr>
          <w:rFonts w:hint="eastAsia" w:ascii="宋体" w:hAnsi="宋体"/>
          <w:color w:val="auto"/>
          <w:szCs w:val="21"/>
          <w:highlight w:val="none"/>
        </w:rPr>
        <w:t>作为备用样品。</w:t>
      </w:r>
    </w:p>
    <w:p>
      <w:pPr>
        <w:snapToGrid w:val="0"/>
        <w:spacing w:line="440" w:lineRule="exac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2.4</w:t>
      </w:r>
      <w:r>
        <w:rPr>
          <w:rFonts w:hint="eastAsia" w:ascii="宋体" w:hAnsi="宋体"/>
          <w:color w:val="auto"/>
          <w:szCs w:val="21"/>
          <w:highlight w:val="none"/>
        </w:rPr>
        <w:t>注意事项</w:t>
      </w:r>
    </w:p>
    <w:p>
      <w:pPr>
        <w:autoSpaceDE w:val="0"/>
        <w:autoSpaceDN w:val="0"/>
        <w:adjustRightInd w:val="0"/>
        <w:spacing w:line="360" w:lineRule="auto"/>
        <w:ind w:firstLine="420" w:firstLineChars="200"/>
        <w:jc w:val="left"/>
        <w:rPr>
          <w:color w:val="auto"/>
          <w:highlight w:val="none"/>
        </w:rPr>
      </w:pPr>
      <w:r>
        <w:rPr>
          <w:color w:val="auto"/>
          <w:highlight w:val="none"/>
        </w:rPr>
        <w:t>抽样人员应先在抽取的所有样品上分别签名（要确保签名部位对样品检测结果不产生影响，样品上不便签字的，在样品</w:t>
      </w:r>
      <w:r>
        <w:rPr>
          <w:rFonts w:hint="eastAsia"/>
          <w:color w:val="auto"/>
          <w:highlight w:val="none"/>
        </w:rPr>
        <w:t>外</w:t>
      </w:r>
      <w:r>
        <w:rPr>
          <w:color w:val="auto"/>
          <w:highlight w:val="none"/>
        </w:rPr>
        <w:t>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 样品处置</w:t>
      </w:r>
    </w:p>
    <w:p>
      <w:pPr>
        <w:snapToGrid w:val="0"/>
        <w:spacing w:line="440" w:lineRule="exac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 xml:space="preserve">.3.1 </w:t>
      </w:r>
      <w:r>
        <w:rPr>
          <w:rFonts w:hint="eastAsia" w:ascii="宋体" w:hAnsi="宋体"/>
          <w:color w:val="auto"/>
          <w:szCs w:val="21"/>
          <w:highlight w:val="none"/>
        </w:rPr>
        <w:t>对抽取的样品，应在封条上分别注明 “检验样品” 与 “备用样品”，并由抽样人员和受检单位代表签字确认，当场对样品分别进行封样，并采取必要的防拆封、动用及调换措施及防封条损坏措施。封条上至少要有产品名称、抽样日期、抽样人签字、受检单位代表签字和盖章以及抽样单位公章等相关信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5.3.2抽取的样品按运输条件包装好，同时应保证封条在运输过程中不会破损。运输时严防雨淋、日晒、受潮。装卸时轻搬轻放，严禁掷抛。贮存时注意防晒、防雨淋、防潮。抽取的检验样品由抽样人员自行携带或寄送至检验机构，备用样品封存于被抽检单位，并告知被抽检企业封存样品的注意事项和妥善保管封存样品的义务及法律责任。</w:t>
      </w:r>
    </w:p>
    <w:p>
      <w:pPr>
        <w:spacing w:line="440" w:lineRule="exact"/>
        <w:rPr>
          <w:rFonts w:ascii="宋体" w:hAnsi="宋体"/>
          <w:color w:val="auto"/>
          <w:highlight w:val="none"/>
        </w:rPr>
      </w:pPr>
      <w:r>
        <w:rPr>
          <w:rFonts w:hint="eastAsia" w:ascii="宋体" w:hAnsi="宋体"/>
          <w:color w:val="auto"/>
          <w:szCs w:val="21"/>
          <w:highlight w:val="none"/>
        </w:rPr>
        <w:t>5.3.3 备用样品及检验结束后的样品应该贮存在阴凉、干燥、避免阳光直射的安全处。应保证备用样品在整个保存期间签封完整无损。</w:t>
      </w:r>
      <w:r>
        <w:rPr>
          <w:rFonts w:hint="eastAsia" w:ascii="宋体" w:hAnsi="宋体" w:cs="宋体"/>
          <w:color w:val="auto"/>
          <w:szCs w:val="21"/>
          <w:highlight w:val="none"/>
        </w:rPr>
        <w:t>如产品包装或说明书等材料上标明特殊储存或搬运要求，样品应按要求进行处理</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 抽样单</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5.4.1生产领域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并注明抽样日期、抽样单编号或封条封签号，同时加盖受检单位公章。对特殊情况，双方签字盖手印确认即可。</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5.4.2 流通领域</w:t>
      </w:r>
    </w:p>
    <w:p>
      <w:pPr>
        <w:snapToGrid w:val="0"/>
        <w:spacing w:line="440" w:lineRule="exact"/>
        <w:ind w:firstLine="420" w:firstLineChars="200"/>
        <w:rPr>
          <w:color w:val="auto"/>
          <w:highlight w:val="none"/>
        </w:rPr>
      </w:pPr>
      <w:r>
        <w:rPr>
          <w:rFonts w:hint="eastAsia" w:ascii="宋体" w:hAnsi="宋体"/>
          <w:color w:val="auto"/>
          <w:szCs w:val="21"/>
          <w:highlight w:val="none"/>
        </w:rPr>
        <w:t>市场抽样：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并注明抽样日期、抽样单编号或封条封签号，同时加盖受检单位公章。对特殊情况，双方签字盖手印确认即可。</w:t>
      </w:r>
    </w:p>
    <w:p>
      <w:pPr>
        <w:numPr>
          <w:ilvl w:val="0"/>
          <w:numId w:val="3"/>
        </w:numPr>
        <w:snapToGrid w:val="0"/>
        <w:spacing w:line="440" w:lineRule="exact"/>
        <w:rPr>
          <w:rFonts w:ascii="黑体" w:hAnsi="宋体" w:eastAsia="黑体"/>
          <w:color w:val="auto"/>
          <w:szCs w:val="21"/>
          <w:highlight w:val="none"/>
        </w:rPr>
      </w:pPr>
      <w:r>
        <w:rPr>
          <w:rFonts w:hint="eastAsia" w:ascii="黑体" w:hAnsi="宋体" w:eastAsia="黑体"/>
          <w:color w:val="auto"/>
          <w:szCs w:val="21"/>
          <w:highlight w:val="none"/>
        </w:rPr>
        <w:t>检验要求</w:t>
      </w:r>
    </w:p>
    <w:p>
      <w:pPr>
        <w:snapToGrid w:val="0"/>
        <w:spacing w:line="440" w:lineRule="exact"/>
        <w:jc w:val="left"/>
        <w:rPr>
          <w:rFonts w:ascii="宋体" w:hAnsi="宋体"/>
          <w:color w:val="auto"/>
          <w:szCs w:val="21"/>
          <w:highlight w:val="none"/>
        </w:rPr>
      </w:pPr>
      <w:r>
        <w:rPr>
          <w:rFonts w:hint="eastAsia" w:ascii="宋体" w:hAnsi="宋体"/>
          <w:color w:val="auto"/>
          <w:szCs w:val="21"/>
          <w:highlight w:val="none"/>
        </w:rPr>
        <w:t xml:space="preserve"> 6.1检验项目见表1。</w:t>
      </w:r>
    </w:p>
    <w:p>
      <w:pPr>
        <w:snapToGrid w:val="0"/>
        <w:spacing w:line="440" w:lineRule="exact"/>
        <w:ind w:firstLine="420"/>
        <w:jc w:val="center"/>
        <w:rPr>
          <w:rFonts w:hint="eastAsia" w:ascii="宋体" w:hAnsi="宋体" w:eastAsia="宋体"/>
          <w:color w:val="auto"/>
          <w:szCs w:val="21"/>
          <w:highlight w:val="none"/>
          <w:lang w:eastAsia="zh-CN"/>
        </w:rPr>
      </w:pPr>
      <w:r>
        <w:rPr>
          <w:rFonts w:hint="eastAsia" w:ascii="宋体" w:hAnsi="宋体"/>
          <w:color w:val="auto"/>
          <w:szCs w:val="21"/>
          <w:highlight w:val="none"/>
        </w:rPr>
        <w:t xml:space="preserve">表1  </w:t>
      </w:r>
      <w:r>
        <w:rPr>
          <w:rFonts w:hint="eastAsia" w:ascii="宋体" w:hAnsi="宋体"/>
          <w:color w:val="auto"/>
          <w:szCs w:val="21"/>
          <w:highlight w:val="none"/>
          <w:lang w:eastAsia="zh-CN"/>
        </w:rPr>
        <w:t>检验项目</w:t>
      </w:r>
    </w:p>
    <w:tbl>
      <w:tblPr>
        <w:tblStyle w:val="5"/>
        <w:tblW w:w="7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635"/>
        <w:gridCol w:w="2086"/>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95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序号</w:t>
            </w:r>
          </w:p>
        </w:tc>
        <w:tc>
          <w:tcPr>
            <w:tcW w:w="263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检验项目</w:t>
            </w:r>
          </w:p>
        </w:tc>
        <w:tc>
          <w:tcPr>
            <w:tcW w:w="208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检验依据</w:t>
            </w:r>
          </w:p>
        </w:tc>
        <w:tc>
          <w:tcPr>
            <w:tcW w:w="176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lang w:eastAsia="zh-CN"/>
              </w:rPr>
              <w:t>检验</w:t>
            </w:r>
            <w:r>
              <w:rPr>
                <w:rFonts w:hint="eastAsia" w:ascii="宋体" w:hAnsi="宋体"/>
                <w:color w:val="auto"/>
                <w:szCs w:val="21"/>
                <w:highlight w:val="none"/>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6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20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c>
          <w:tcPr>
            <w:tcW w:w="176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4"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1</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外观</w:t>
            </w:r>
          </w:p>
        </w:tc>
        <w:tc>
          <w:tcPr>
            <w:tcW w:w="208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color w:val="auto"/>
                <w:szCs w:val="21"/>
                <w:highlight w:val="none"/>
              </w:rPr>
              <w:t>QC/T 29106-2014</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color w:val="auto"/>
                <w:szCs w:val="21"/>
                <w:highlight w:val="none"/>
              </w:rPr>
              <w:t>QC/T 29106-2014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2</w:t>
            </w:r>
          </w:p>
        </w:tc>
        <w:tc>
          <w:tcPr>
            <w:tcW w:w="26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电路</w:t>
            </w:r>
          </w:p>
        </w:tc>
        <w:tc>
          <w:tcPr>
            <w:tcW w:w="208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color w:val="auto"/>
                <w:szCs w:val="21"/>
                <w:highlight w:val="none"/>
              </w:rPr>
              <w:t>QC/T 29106-2014</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auto"/>
                <w:kern w:val="2"/>
                <w:sz w:val="21"/>
                <w:szCs w:val="21"/>
                <w:highlight w:val="none"/>
                <w:lang w:val="en-US" w:eastAsia="zh-CN" w:bidi="ar-SA"/>
              </w:rPr>
            </w:pPr>
            <w:r>
              <w:rPr>
                <w:color w:val="auto"/>
                <w:szCs w:val="21"/>
                <w:highlight w:val="none"/>
              </w:rPr>
              <w:t>QC/T 29106-2014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3</w:t>
            </w:r>
          </w:p>
        </w:tc>
        <w:tc>
          <w:tcPr>
            <w:tcW w:w="26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端子与电线连接</w:t>
            </w:r>
          </w:p>
        </w:tc>
        <w:tc>
          <w:tcPr>
            <w:tcW w:w="208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color w:val="auto"/>
                <w:szCs w:val="21"/>
                <w:highlight w:val="none"/>
              </w:rPr>
              <w:t>QC/T 29106-2014</w:t>
            </w:r>
          </w:p>
        </w:tc>
        <w:tc>
          <w:tcPr>
            <w:tcW w:w="17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color w:val="auto"/>
                <w:szCs w:val="21"/>
                <w:highlight w:val="none"/>
              </w:rPr>
              <w:t>QC/T 29106-2014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4</w:t>
            </w:r>
          </w:p>
        </w:tc>
        <w:tc>
          <w:tcPr>
            <w:tcW w:w="26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电压降</w:t>
            </w:r>
          </w:p>
        </w:tc>
        <w:tc>
          <w:tcPr>
            <w:tcW w:w="208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color w:val="auto"/>
                <w:szCs w:val="21"/>
                <w:highlight w:val="none"/>
              </w:rPr>
              <w:t>QC/T 29106-2014</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auto"/>
                <w:kern w:val="2"/>
                <w:sz w:val="21"/>
                <w:szCs w:val="21"/>
                <w:highlight w:val="none"/>
                <w:lang w:val="en-US" w:eastAsia="zh-CN" w:bidi="ar-SA"/>
              </w:rPr>
            </w:pPr>
            <w:r>
              <w:rPr>
                <w:color w:val="auto"/>
                <w:szCs w:val="21"/>
                <w:highlight w:val="none"/>
              </w:rPr>
              <w:t>QC/T 29106-2014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lang w:val="en-US" w:eastAsia="zh-CN"/>
              </w:rPr>
              <w:t>5</w:t>
            </w:r>
          </w:p>
        </w:tc>
        <w:tc>
          <w:tcPr>
            <w:tcW w:w="26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lang w:eastAsia="zh-CN"/>
              </w:rPr>
              <w:t>耐温度性能（</w:t>
            </w:r>
            <w:r>
              <w:rPr>
                <w:rFonts w:hint="eastAsia" w:ascii="宋体" w:hAnsi="宋体"/>
                <w:color w:val="auto"/>
                <w:szCs w:val="21"/>
                <w:highlight w:val="none"/>
              </w:rPr>
              <w:t>耐高温性能</w:t>
            </w:r>
            <w:r>
              <w:rPr>
                <w:rFonts w:hint="eastAsia" w:ascii="宋体" w:hAnsi="宋体"/>
                <w:color w:val="auto"/>
                <w:szCs w:val="21"/>
                <w:highlight w:val="none"/>
                <w:lang w:eastAsia="zh-CN"/>
              </w:rPr>
              <w:t>）</w:t>
            </w:r>
          </w:p>
        </w:tc>
        <w:tc>
          <w:tcPr>
            <w:tcW w:w="208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eastAsia="宋体" w:cs="Times New Roman"/>
                <w:color w:val="auto"/>
                <w:kern w:val="2"/>
                <w:sz w:val="21"/>
                <w:szCs w:val="21"/>
                <w:highlight w:val="none"/>
                <w:lang w:val="en-US" w:eastAsia="zh-CN" w:bidi="ar-SA"/>
              </w:rPr>
            </w:pPr>
            <w:r>
              <w:rPr>
                <w:color w:val="auto"/>
                <w:szCs w:val="21"/>
                <w:highlight w:val="none"/>
              </w:rPr>
              <w:t>QC/T 29106-2014</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auto"/>
                <w:kern w:val="2"/>
                <w:sz w:val="21"/>
                <w:szCs w:val="21"/>
                <w:highlight w:val="none"/>
                <w:lang w:val="en-US" w:eastAsia="zh-CN" w:bidi="ar-SA"/>
              </w:rPr>
            </w:pPr>
            <w:r>
              <w:rPr>
                <w:color w:val="auto"/>
                <w:szCs w:val="21"/>
                <w:highlight w:val="none"/>
              </w:rPr>
              <w:t>QC/T 29106-2014</w:t>
            </w:r>
          </w:p>
        </w:tc>
      </w:tr>
    </w:tbl>
    <w:p>
      <w:pPr>
        <w:snapToGrid w:val="0"/>
        <w:spacing w:line="440" w:lineRule="exact"/>
        <w:ind w:firstLine="420"/>
        <w:rPr>
          <w:rFonts w:ascii="宋体" w:hAnsi="宋体"/>
          <w:color w:val="auto"/>
          <w:szCs w:val="21"/>
          <w:highlight w:val="none"/>
        </w:rPr>
      </w:pPr>
      <w:r>
        <w:rPr>
          <w:rFonts w:hint="eastAsia" w:ascii="宋体" w:hAnsi="宋体"/>
          <w:color w:val="auto"/>
          <w:szCs w:val="21"/>
          <w:highlight w:val="none"/>
        </w:rPr>
        <w:t>注：如果产品执行的是经备案现行有效的企业标准，则按相应的标准规定进行检验和判定。</w:t>
      </w:r>
    </w:p>
    <w:p>
      <w:pPr>
        <w:snapToGrid w:val="0"/>
        <w:spacing w:line="440" w:lineRule="exact"/>
        <w:ind w:left="420"/>
        <w:rPr>
          <w:rFonts w:ascii="宋体" w:hAnsi="宋体"/>
          <w:color w:val="auto"/>
          <w:szCs w:val="21"/>
          <w:highlight w:val="none"/>
        </w:rPr>
      </w:pPr>
      <w:r>
        <w:rPr>
          <w:rFonts w:hint="eastAsia" w:ascii="宋体" w:hAnsi="宋体"/>
          <w:color w:val="auto"/>
          <w:szCs w:val="21"/>
          <w:highlight w:val="none"/>
        </w:rPr>
        <w:t>6.2按标准要求，</w:t>
      </w:r>
      <w:r>
        <w:rPr>
          <w:rFonts w:hint="eastAsia" w:ascii="宋体" w:hAnsi="宋体"/>
          <w:color w:val="auto"/>
          <w:szCs w:val="21"/>
          <w:highlight w:val="none"/>
          <w:lang w:val="en-US" w:eastAsia="zh-CN"/>
        </w:rPr>
        <w:t>3</w:t>
      </w:r>
      <w:r>
        <w:rPr>
          <w:rFonts w:hint="eastAsia" w:ascii="宋体" w:hAnsi="宋体"/>
          <w:color w:val="auto"/>
          <w:szCs w:val="21"/>
          <w:highlight w:val="none"/>
        </w:rPr>
        <w:t>个</w:t>
      </w:r>
      <w:r>
        <w:rPr>
          <w:rFonts w:hint="eastAsia" w:ascii="宋体" w:hAnsi="宋体"/>
          <w:color w:val="auto"/>
          <w:szCs w:val="21"/>
          <w:highlight w:val="none"/>
        </w:rPr>
        <w:t>检验样品分组如表2。</w:t>
      </w:r>
    </w:p>
    <w:p>
      <w:pPr>
        <w:snapToGrid w:val="0"/>
        <w:spacing w:line="440" w:lineRule="exact"/>
        <w:ind w:left="420"/>
        <w:jc w:val="center"/>
        <w:rPr>
          <w:rFonts w:ascii="宋体" w:hAnsi="宋体"/>
          <w:color w:val="auto"/>
          <w:szCs w:val="21"/>
          <w:highlight w:val="none"/>
        </w:rPr>
      </w:pPr>
      <w:r>
        <w:rPr>
          <w:rFonts w:hint="eastAsia" w:ascii="宋体" w:hAnsi="宋体"/>
          <w:color w:val="auto"/>
          <w:szCs w:val="21"/>
          <w:highlight w:val="none"/>
        </w:rPr>
        <w:t>表2检验样品的分组</w:t>
      </w:r>
    </w:p>
    <w:tbl>
      <w:tblPr>
        <w:tblStyle w:val="5"/>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1620"/>
        <w:gridCol w:w="1695"/>
        <w:gridCol w:w="1935"/>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组别</w:t>
            </w:r>
          </w:p>
        </w:tc>
        <w:tc>
          <w:tcPr>
            <w:tcW w:w="1620"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样本数量</w:t>
            </w:r>
          </w:p>
        </w:tc>
        <w:tc>
          <w:tcPr>
            <w:tcW w:w="1695"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检验顺序</w:t>
            </w:r>
          </w:p>
        </w:tc>
        <w:tc>
          <w:tcPr>
            <w:tcW w:w="1935"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检验项目</w:t>
            </w:r>
          </w:p>
        </w:tc>
        <w:tc>
          <w:tcPr>
            <w:tcW w:w="1648"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1</w:t>
            </w:r>
          </w:p>
        </w:tc>
        <w:tc>
          <w:tcPr>
            <w:tcW w:w="162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1</w:t>
            </w:r>
          </w:p>
        </w:tc>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440" w:lineRule="exact"/>
              <w:jc w:val="center"/>
              <w:rPr>
                <w:rFonts w:hint="default"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1</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440" w:lineRule="exact"/>
              <w:jc w:val="center"/>
              <w:rPr>
                <w:rFonts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耐高温性能</w:t>
            </w:r>
          </w:p>
        </w:tc>
        <w:tc>
          <w:tcPr>
            <w:tcW w:w="1648" w:type="dxa"/>
            <w:tcBorders>
              <w:top w:val="single" w:color="auto" w:sz="4" w:space="0"/>
              <w:left w:val="single" w:color="auto" w:sz="4" w:space="0"/>
              <w:bottom w:val="single" w:color="auto" w:sz="4" w:space="0"/>
              <w:right w:val="single" w:color="auto" w:sz="4" w:space="0"/>
            </w:tcBorders>
            <w:shd w:val="clear" w:color="auto" w:fill="auto"/>
            <w:vAlign w:val="top"/>
          </w:tcPr>
          <w:p>
            <w:pPr>
              <w:snapToGrid w:val="0"/>
              <w:spacing w:line="440" w:lineRule="exact"/>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vMerge w:val="restart"/>
            <w:tcBorders>
              <w:top w:val="single" w:color="auto" w:sz="4" w:space="0"/>
              <w:left w:val="single" w:color="auto" w:sz="4" w:space="0"/>
              <w:right w:val="single" w:color="auto" w:sz="4" w:space="0"/>
            </w:tcBorders>
            <w:vAlign w:val="center"/>
          </w:tcPr>
          <w:p>
            <w:pPr>
              <w:snapToGrid w:val="0"/>
              <w:spacing w:line="44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2</w:t>
            </w: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2</w:t>
            </w:r>
          </w:p>
        </w:tc>
        <w:tc>
          <w:tcPr>
            <w:tcW w:w="1695"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1</w:t>
            </w:r>
          </w:p>
        </w:tc>
        <w:tc>
          <w:tcPr>
            <w:tcW w:w="19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rPr>
              <w:t>外观</w:t>
            </w:r>
          </w:p>
        </w:tc>
        <w:tc>
          <w:tcPr>
            <w:tcW w:w="164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vMerge w:val="continue"/>
            <w:tcBorders>
              <w:left w:val="single" w:color="auto" w:sz="4" w:space="0"/>
              <w:right w:val="single" w:color="auto" w:sz="4" w:space="0"/>
            </w:tcBorders>
            <w:vAlign w:val="center"/>
          </w:tcPr>
          <w:p>
            <w:pPr>
              <w:widowControl/>
              <w:jc w:val="center"/>
              <w:rPr>
                <w:rFonts w:ascii="宋体" w:hAnsi="宋体"/>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auto"/>
                <w:szCs w:val="21"/>
                <w:highlight w:val="none"/>
              </w:rPr>
            </w:pPr>
          </w:p>
        </w:tc>
        <w:tc>
          <w:tcPr>
            <w:tcW w:w="1695"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auto"/>
                <w:szCs w:val="21"/>
                <w:highlight w:val="none"/>
              </w:rPr>
            </w:pPr>
            <w:r>
              <w:rPr>
                <w:rFonts w:hint="eastAsia" w:ascii="宋体" w:hAnsi="宋体"/>
                <w:color w:val="auto"/>
                <w:szCs w:val="21"/>
                <w:highlight w:val="none"/>
              </w:rPr>
              <w:t>2</w:t>
            </w:r>
          </w:p>
        </w:tc>
        <w:tc>
          <w:tcPr>
            <w:tcW w:w="19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电路</w:t>
            </w:r>
          </w:p>
        </w:tc>
        <w:tc>
          <w:tcPr>
            <w:tcW w:w="164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56" w:type="dxa"/>
            <w:vMerge w:val="continue"/>
            <w:tcBorders>
              <w:left w:val="single" w:color="auto" w:sz="4" w:space="0"/>
              <w:right w:val="single" w:color="auto" w:sz="4" w:space="0"/>
            </w:tcBorders>
            <w:vAlign w:val="center"/>
          </w:tcPr>
          <w:p>
            <w:pPr>
              <w:widowControl/>
              <w:jc w:val="center"/>
              <w:rPr>
                <w:rFonts w:hint="default" w:ascii="宋体" w:hAnsi="宋体"/>
                <w:color w:val="auto"/>
                <w:szCs w:val="21"/>
                <w:highlight w:val="none"/>
                <w:lang w:val="en-US" w:eastAsia="zh-CN"/>
              </w:rPr>
            </w:pPr>
          </w:p>
        </w:tc>
        <w:tc>
          <w:tcPr>
            <w:tcW w:w="1620" w:type="dxa"/>
            <w:tcBorders>
              <w:top w:val="single" w:color="auto" w:sz="4" w:space="0"/>
              <w:left w:val="single" w:color="auto" w:sz="4" w:space="0"/>
              <w:right w:val="single" w:color="auto" w:sz="4" w:space="0"/>
            </w:tcBorders>
            <w:vAlign w:val="center"/>
          </w:tcPr>
          <w:p>
            <w:pPr>
              <w:widowControl/>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1</w:t>
            </w:r>
          </w:p>
        </w:tc>
        <w:tc>
          <w:tcPr>
            <w:tcW w:w="1695" w:type="dxa"/>
            <w:tcBorders>
              <w:top w:val="single" w:color="auto" w:sz="4" w:space="0"/>
              <w:left w:val="single" w:color="auto" w:sz="4" w:space="0"/>
              <w:bottom w:val="single" w:color="auto" w:sz="4" w:space="0"/>
              <w:right w:val="single" w:color="auto" w:sz="4" w:space="0"/>
            </w:tcBorders>
            <w:vAlign w:val="top"/>
          </w:tcPr>
          <w:p>
            <w:pPr>
              <w:snapToGrid w:val="0"/>
              <w:spacing w:line="440" w:lineRule="exact"/>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1</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端子与电线连接</w:t>
            </w:r>
          </w:p>
        </w:tc>
        <w:tc>
          <w:tcPr>
            <w:tcW w:w="1648" w:type="dxa"/>
            <w:vMerge w:val="restart"/>
            <w:tcBorders>
              <w:top w:val="single" w:color="auto" w:sz="4" w:space="0"/>
              <w:left w:val="single" w:color="auto" w:sz="4" w:space="0"/>
              <w:right w:val="single" w:color="auto" w:sz="4" w:space="0"/>
            </w:tcBorders>
            <w:vAlign w:val="center"/>
          </w:tcPr>
          <w:p>
            <w:pPr>
              <w:spacing w:line="320" w:lineRule="exact"/>
              <w:jc w:val="left"/>
              <w:rPr>
                <w:rFonts w:hint="eastAsia" w:ascii="宋体" w:hAnsi="宋体"/>
                <w:color w:val="auto"/>
                <w:szCs w:val="21"/>
                <w:highlight w:val="none"/>
              </w:rPr>
            </w:pPr>
            <w:r>
              <w:rPr>
                <w:rFonts w:ascii="Segoe UI" w:hAnsi="Segoe UI" w:eastAsia="Segoe UI" w:cs="Segoe UI"/>
                <w:i w:val="0"/>
                <w:iCs w:val="0"/>
                <w:caps w:val="0"/>
                <w:color w:val="auto"/>
                <w:spacing w:val="0"/>
                <w:sz w:val="24"/>
                <w:szCs w:val="24"/>
                <w:highlight w:val="none"/>
                <w:shd w:val="clear" w:fill="FFFFFF"/>
              </w:rPr>
              <w:t xml:space="preserve">用组别 </w:t>
            </w:r>
            <w:r>
              <w:rPr>
                <w:rFonts w:hint="eastAsia" w:ascii="Segoe UI" w:hAnsi="Segoe UI" w:cs="Segoe UI"/>
                <w:i w:val="0"/>
                <w:iCs w:val="0"/>
                <w:caps w:val="0"/>
                <w:color w:val="auto"/>
                <w:spacing w:val="0"/>
                <w:sz w:val="24"/>
                <w:szCs w:val="24"/>
                <w:highlight w:val="none"/>
                <w:shd w:val="clear" w:fill="FFFFFF"/>
                <w:lang w:val="en-US" w:eastAsia="zh-CN"/>
              </w:rPr>
              <w:t>2</w:t>
            </w:r>
            <w:r>
              <w:rPr>
                <w:rFonts w:ascii="Segoe UI" w:hAnsi="Segoe UI" w:eastAsia="Segoe UI" w:cs="Segoe UI"/>
                <w:i w:val="0"/>
                <w:iCs w:val="0"/>
                <w:caps w:val="0"/>
                <w:color w:val="auto"/>
                <w:spacing w:val="0"/>
                <w:sz w:val="24"/>
                <w:szCs w:val="24"/>
                <w:highlight w:val="none"/>
                <w:shd w:val="clear" w:fill="FFFFFF"/>
              </w:rPr>
              <w:t xml:space="preserve"> 中做完外观、电路</w:t>
            </w:r>
            <w:r>
              <w:rPr>
                <w:rFonts w:hint="eastAsia" w:ascii="Segoe UI" w:hAnsi="Segoe UI" w:cs="Segoe UI"/>
                <w:i w:val="0"/>
                <w:iCs w:val="0"/>
                <w:caps w:val="0"/>
                <w:color w:val="auto"/>
                <w:spacing w:val="0"/>
                <w:sz w:val="24"/>
                <w:szCs w:val="24"/>
                <w:highlight w:val="none"/>
                <w:shd w:val="clear" w:fill="FFFFFF"/>
                <w:lang w:eastAsia="zh-CN"/>
              </w:rPr>
              <w:t>项目</w:t>
            </w:r>
            <w:r>
              <w:rPr>
                <w:rFonts w:ascii="Segoe UI" w:hAnsi="Segoe UI" w:eastAsia="Segoe UI" w:cs="Segoe UI"/>
                <w:i w:val="0"/>
                <w:iCs w:val="0"/>
                <w:caps w:val="0"/>
                <w:color w:val="auto"/>
                <w:spacing w:val="0"/>
                <w:sz w:val="24"/>
                <w:szCs w:val="24"/>
                <w:highlight w:val="none"/>
                <w:shd w:val="clear" w:fill="FFFFFF"/>
              </w:rPr>
              <w:t>的样品进行检验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6" w:type="dxa"/>
            <w:vMerge w:val="continue"/>
            <w:tcBorders>
              <w:left w:val="single" w:color="auto" w:sz="4" w:space="0"/>
              <w:right w:val="single" w:color="auto" w:sz="4" w:space="0"/>
            </w:tcBorders>
            <w:vAlign w:val="center"/>
          </w:tcPr>
          <w:p>
            <w:pPr>
              <w:widowControl/>
              <w:jc w:val="center"/>
              <w:rPr>
                <w:rFonts w:hint="eastAsia" w:ascii="宋体" w:hAnsi="宋体"/>
                <w:color w:val="auto"/>
                <w:szCs w:val="21"/>
                <w:highlight w:val="none"/>
                <w:lang w:val="en-US" w:eastAsia="zh-CN"/>
              </w:rPr>
            </w:pPr>
          </w:p>
        </w:tc>
        <w:tc>
          <w:tcPr>
            <w:tcW w:w="1620" w:type="dxa"/>
            <w:tcBorders>
              <w:top w:val="single" w:color="auto" w:sz="4" w:space="0"/>
              <w:left w:val="single" w:color="auto" w:sz="4" w:space="0"/>
              <w:right w:val="single" w:color="auto" w:sz="4" w:space="0"/>
            </w:tcBorders>
            <w:vAlign w:val="center"/>
          </w:tcPr>
          <w:p>
            <w:pPr>
              <w:widowControl/>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1</w:t>
            </w:r>
          </w:p>
        </w:tc>
        <w:tc>
          <w:tcPr>
            <w:tcW w:w="1695" w:type="dxa"/>
            <w:tcBorders>
              <w:top w:val="single" w:color="auto" w:sz="4" w:space="0"/>
              <w:left w:val="single" w:color="auto" w:sz="4" w:space="0"/>
              <w:bottom w:val="single" w:color="auto" w:sz="4" w:space="0"/>
              <w:right w:val="single" w:color="auto" w:sz="4" w:space="0"/>
            </w:tcBorders>
            <w:vAlign w:val="top"/>
          </w:tcPr>
          <w:p>
            <w:pPr>
              <w:snapToGrid w:val="0"/>
              <w:spacing w:line="440" w:lineRule="exact"/>
              <w:jc w:val="center"/>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1</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电压降</w:t>
            </w:r>
          </w:p>
        </w:tc>
        <w:tc>
          <w:tcPr>
            <w:tcW w:w="1648" w:type="dxa"/>
            <w:vMerge w:val="continue"/>
            <w:tcBorders>
              <w:left w:val="single" w:color="auto" w:sz="4" w:space="0"/>
              <w:bottom w:val="single" w:color="auto" w:sz="4" w:space="0"/>
              <w:right w:val="single" w:color="auto" w:sz="4" w:space="0"/>
            </w:tcBorders>
            <w:vAlign w:val="center"/>
          </w:tcPr>
          <w:p>
            <w:pPr>
              <w:spacing w:line="320" w:lineRule="exact"/>
              <w:jc w:val="center"/>
              <w:rPr>
                <w:rFonts w:hint="eastAsia" w:ascii="宋体" w:hAnsi="宋体"/>
                <w:color w:val="auto"/>
                <w:szCs w:val="21"/>
                <w:highlight w:val="none"/>
              </w:rPr>
            </w:pPr>
          </w:p>
        </w:tc>
      </w:tr>
    </w:tbl>
    <w:p>
      <w:pPr>
        <w:widowControl/>
        <w:spacing w:line="440" w:lineRule="exact"/>
        <w:jc w:val="left"/>
        <w:rPr>
          <w:rFonts w:hint="eastAsia" w:ascii="黑体" w:hAnsi="黑体" w:eastAsia="黑体" w:cs="黑体"/>
          <w:color w:val="auto"/>
          <w:szCs w:val="21"/>
          <w:highlight w:val="none"/>
        </w:rPr>
      </w:pPr>
    </w:p>
    <w:p>
      <w:pPr>
        <w:widowControl/>
        <w:spacing w:line="440" w:lineRule="exact"/>
        <w:jc w:val="left"/>
        <w:rPr>
          <w:rFonts w:ascii="黑体" w:hAnsi="黑体" w:eastAsia="黑体" w:cs="黑体"/>
          <w:color w:val="auto"/>
          <w:szCs w:val="21"/>
          <w:highlight w:val="none"/>
        </w:rPr>
      </w:pPr>
      <w:r>
        <w:rPr>
          <w:rFonts w:hint="eastAsia" w:ascii="黑体" w:hAnsi="黑体" w:eastAsia="黑体" w:cs="黑体"/>
          <w:color w:val="auto"/>
          <w:szCs w:val="21"/>
          <w:highlight w:val="none"/>
        </w:rPr>
        <w:t>7 判定原则</w:t>
      </w:r>
    </w:p>
    <w:p>
      <w:pPr>
        <w:widowControl/>
        <w:spacing w:line="440" w:lineRule="exact"/>
        <w:ind w:firstLine="420" w:firstLineChars="200"/>
        <w:jc w:val="left"/>
        <w:rPr>
          <w:rFonts w:hAnsi="宋体"/>
          <w:color w:val="auto"/>
          <w:szCs w:val="21"/>
          <w:highlight w:val="none"/>
        </w:rPr>
      </w:pPr>
      <w:r>
        <w:rPr>
          <w:rFonts w:hint="eastAsia" w:hAnsi="宋体"/>
          <w:color w:val="auto"/>
          <w:szCs w:val="21"/>
          <w:highlight w:val="none"/>
        </w:rPr>
        <w:t>若被检产品明示的质量要求高于本细则中检验项目依据的标准要求时，应按被检产品明示的质量要求判定。</w:t>
      </w:r>
    </w:p>
    <w:p>
      <w:pPr>
        <w:widowControl/>
        <w:spacing w:line="440" w:lineRule="exact"/>
        <w:ind w:firstLine="420" w:firstLineChars="200"/>
        <w:jc w:val="left"/>
        <w:rPr>
          <w:rFonts w:hAnsi="宋体"/>
          <w:color w:val="auto"/>
          <w:szCs w:val="21"/>
          <w:highlight w:val="none"/>
        </w:rPr>
      </w:pPr>
      <w:r>
        <w:rPr>
          <w:rFonts w:hint="eastAsia" w:hAnsi="宋体"/>
          <w:color w:val="auto"/>
          <w:szCs w:val="21"/>
          <w:highlight w:val="none"/>
        </w:rPr>
        <w:t>若被检产品明示的质量要求低于本细则中检验项目依据的强制性标准要求时，应按照强制性标准要求判定。</w:t>
      </w:r>
    </w:p>
    <w:p>
      <w:pPr>
        <w:widowControl/>
        <w:spacing w:line="440" w:lineRule="exact"/>
        <w:ind w:firstLine="420" w:firstLineChars="200"/>
        <w:jc w:val="left"/>
        <w:rPr>
          <w:rFonts w:hAnsi="宋体"/>
          <w:color w:val="auto"/>
          <w:szCs w:val="21"/>
          <w:highlight w:val="none"/>
        </w:rPr>
      </w:pPr>
      <w:r>
        <w:rPr>
          <w:rFonts w:hint="eastAsia" w:hAnsi="宋体"/>
          <w:color w:val="auto"/>
          <w:szCs w:val="21"/>
          <w:highlight w:val="none"/>
        </w:rPr>
        <w:t>若被检产品明示的质量要求低于或包含细则中检验项目依据的推荐性标准要求时，应以被检产品明示的质量要求判定。</w:t>
      </w:r>
    </w:p>
    <w:p>
      <w:pPr>
        <w:widowControl/>
        <w:spacing w:line="440" w:lineRule="exact"/>
        <w:ind w:firstLine="420" w:firstLineChars="200"/>
        <w:jc w:val="left"/>
        <w:rPr>
          <w:rFonts w:hAnsi="宋体"/>
          <w:color w:val="auto"/>
          <w:szCs w:val="21"/>
          <w:highlight w:val="none"/>
        </w:rPr>
      </w:pPr>
      <w:r>
        <w:rPr>
          <w:rFonts w:hint="eastAsia" w:hAnsi="宋体"/>
          <w:color w:val="auto"/>
          <w:szCs w:val="21"/>
          <w:highlight w:val="none"/>
        </w:rPr>
        <w:t>若被检产品明示的质量要求缺少本细则中检验项目依据的强制性标准要求时，应按照强制性标准要求判定。</w:t>
      </w:r>
    </w:p>
    <w:p>
      <w:pPr>
        <w:widowControl/>
        <w:spacing w:line="440" w:lineRule="exact"/>
        <w:ind w:firstLine="420" w:firstLineChars="200"/>
        <w:jc w:val="left"/>
        <w:rPr>
          <w:rFonts w:hAnsi="宋体"/>
          <w:color w:val="auto"/>
          <w:szCs w:val="21"/>
          <w:highlight w:val="none"/>
        </w:rPr>
      </w:pPr>
      <w:r>
        <w:rPr>
          <w:rFonts w:hint="eastAsia" w:hAnsi="宋体"/>
          <w:color w:val="auto"/>
          <w:szCs w:val="21"/>
          <w:highlight w:val="none"/>
        </w:rPr>
        <w:t>若被检产品明示的质量要求缺少本细则中检验项目依据的推荐性标准要求时，该项目不参与判定，但应在检验报告备注中进行说明。</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7.1  当所检项目全部符合执行标准要求，判定为：“依据 xxx〔xxxx〕xx 号文中《2025 年汽车电线束产品质量广西监督抽查实施细则》要求，对所抽样品的 xx 个项目进行了检验，检验结果符合 xx 标准号《标准名称》要求。综合判定：该产品本次监督抽查合格。”</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 xml:space="preserve">7.2  当所检项目有一项或一项以上不符合执行标准要求，判定为：“依据 xxx〔xxxx〕xx 号文中《2025 年汽车电线束产品质量广西监督抽查实施细则》要求，对所抽样品的 xx 个项目进行了检验，其中 xx 项目的检验结果不符合 xx 标准号《标准名称》要求。综合判定：该产品本次监督抽查不合格。” </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注：若产品标准有推荐性国家标准、行业标准、地方推荐性标准，而企业执行自己的企业标准，若抽查项目在企业标准中规定又低于推荐性国家标准、行业标准、地方推荐性标准，所检项目有一项或一项以上低于国家、行业、地方推荐性标准要求（含国家、行业、地方强制性标准中的推荐性条款）时，在使用企业标准作出合格或不合格结论的同时，在 “备注” 栏中说明：该产品本次监督抽查检验，xx 项目不符合 xx 标准号《国家（行业、地方）标准名称》要求。</w:t>
      </w:r>
    </w:p>
    <w:p>
      <w:pPr>
        <w:pStyle w:val="12"/>
        <w:numPr>
          <w:ilvl w:val="0"/>
          <w:numId w:val="0"/>
        </w:numPr>
        <w:spacing w:line="480" w:lineRule="exact"/>
        <w:rPr>
          <w:color w:val="auto"/>
          <w:highlight w:val="none"/>
        </w:rPr>
      </w:pPr>
      <w:r>
        <w:rPr>
          <w:rFonts w:hint="eastAsia"/>
          <w:color w:val="auto"/>
          <w:highlight w:val="none"/>
        </w:rPr>
        <w:t>8 异议处理</w:t>
      </w:r>
    </w:p>
    <w:p>
      <w:pPr>
        <w:spacing w:line="480" w:lineRule="exact"/>
        <w:ind w:firstLine="420" w:firstLineChars="200"/>
        <w:rPr>
          <w:rFonts w:ascii="宋体" w:hAnsi="宋体" w:cs="Sim Sun"/>
          <w:color w:val="auto"/>
          <w:kern w:val="0"/>
          <w:szCs w:val="21"/>
          <w:highlight w:val="none"/>
        </w:rPr>
      </w:pPr>
      <w:r>
        <w:rPr>
          <w:rFonts w:hint="eastAsia" w:ascii="宋体" w:hAnsi="宋体" w:cs="Sim Sun"/>
          <w:color w:val="auto"/>
          <w:kern w:val="0"/>
          <w:szCs w:val="21"/>
          <w:highlight w:val="none"/>
        </w:rPr>
        <w:t>对被判定为不合格产品进行复检时，按以下方式进行：</w:t>
      </w:r>
    </w:p>
    <w:p>
      <w:pPr>
        <w:spacing w:line="480" w:lineRule="exact"/>
        <w:rPr>
          <w:rFonts w:ascii="宋体" w:hAnsi="宋体"/>
          <w:color w:val="auto"/>
          <w:szCs w:val="21"/>
          <w:highlight w:val="none"/>
        </w:rPr>
      </w:pPr>
      <w:r>
        <w:rPr>
          <w:rFonts w:hint="eastAsia" w:ascii="宋体" w:hAnsi="宋体"/>
          <w:color w:val="auto"/>
          <w:szCs w:val="21"/>
          <w:highlight w:val="none"/>
        </w:rPr>
        <w:t>8.1 核查不合格项目相关证据，能够以记录（纸质记录或电子记录或影像记录）或与不合格项目相关联的其它质量数据等检验证据证明的，由监督抽查组织部门根据核查情况作出异议处理决定。</w:t>
      </w:r>
    </w:p>
    <w:p>
      <w:pPr>
        <w:spacing w:line="480" w:lineRule="exact"/>
        <w:rPr>
          <w:rFonts w:ascii="宋体" w:hAnsi="宋体" w:cs="宋体"/>
          <w:bCs/>
          <w:color w:val="auto"/>
          <w:szCs w:val="21"/>
          <w:highlight w:val="none"/>
        </w:rPr>
      </w:pPr>
      <w:r>
        <w:rPr>
          <w:rFonts w:hint="eastAsia" w:ascii="宋体" w:hAnsi="宋体"/>
          <w:color w:val="auto"/>
          <w:szCs w:val="21"/>
          <w:highlight w:val="none"/>
        </w:rPr>
        <w:t>8.2 对需要复检并具备检验条件的，监督抽查组织部门按照《产品质量监督抽查管理暂行办法》要求组织复检机构对对抽取的备用样品进行复检，并出具检验报告。复检结论为最终结论。</w:t>
      </w:r>
    </w:p>
    <w:p>
      <w:pPr>
        <w:spacing w:line="480" w:lineRule="exact"/>
        <w:rPr>
          <w:rFonts w:ascii="宋体" w:hAnsi="宋体" w:eastAsia="仿宋_GB2312" w:cs="Sim Sun"/>
          <w:color w:val="auto"/>
          <w:kern w:val="0"/>
          <w:sz w:val="44"/>
          <w:szCs w:val="21"/>
          <w:highlight w:val="none"/>
        </w:rPr>
      </w:pPr>
    </w:p>
    <w:p>
      <w:pPr>
        <w:rPr>
          <w:color w:val="auto"/>
          <w:highlight w:val="none"/>
        </w:rPr>
      </w:pPr>
    </w:p>
    <w:bookmarkEnd w:id="0"/>
    <w:sectPr>
      <w:footerReference r:id="rId3" w:type="default"/>
      <w:pgSz w:w="11906" w:h="16838"/>
      <w:pgMar w:top="1701"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im Sun">
    <w:altName w:val="宋体"/>
    <w:panose1 w:val="00000000000000000000"/>
    <w:charset w:val="86"/>
    <w:family w:val="swiss"/>
    <w:pitch w:val="default"/>
    <w:sig w:usb0="00000000" w:usb1="00000000" w:usb2="00000010" w:usb3="00000000" w:csb0="00040000" w:csb1="00000000"/>
  </w:font>
  <w:font w:name="Segoe UI">
    <w:panose1 w:val="020B0502040204020203"/>
    <w:charset w:val="00"/>
    <w:family w:val="auto"/>
    <w:pitch w:val="default"/>
    <w:sig w:usb0="E4002EFF" w:usb1="C000E47F"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40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shape id="409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CwT&#10;t6O2AQAAkgMAAA4AAAAAAAAAAQAgAAAAHgEAAGRycy9lMm9Eb2MueG1sUEsFBgAAAAAGAAYAWQEA&#10;AEYFAAAAAA==&#10;">
              <v:fill on="f" focussize="0,0"/>
              <v:stroke on="f"/>
              <v:imagedata o:title=""/>
              <o:lock v:ext="edit" aspectratio="f"/>
              <v:textbox inset="0mm,0mm,0mm,0mm" style="mso-fit-shape-to-text:t;">
                <w:txbxContent>
                  <w:p>
                    <w:pPr>
                      <w:pStyle w:val="3"/>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pStyle w:val="1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6"/>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4CC1"/>
    <w:rsid w:val="08181828"/>
    <w:rsid w:val="09AA4D5C"/>
    <w:rsid w:val="1BDC68CC"/>
    <w:rsid w:val="241059BB"/>
    <w:rsid w:val="24183801"/>
    <w:rsid w:val="2AE82E43"/>
    <w:rsid w:val="2C664F47"/>
    <w:rsid w:val="38286CC9"/>
    <w:rsid w:val="41483E09"/>
    <w:rsid w:val="414E279F"/>
    <w:rsid w:val="5DF97524"/>
    <w:rsid w:val="6FC8746B"/>
    <w:rsid w:val="74B552E4"/>
    <w:rsid w:val="7976663C"/>
    <w:rsid w:val="7F8B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7"/>
    <w:qFormat/>
    <w:uiPriority w:val="0"/>
    <w:pPr>
      <w:keepNext/>
      <w:keepLines/>
      <w:spacing w:before="260" w:after="260" w:line="416" w:lineRule="auto"/>
      <w:outlineLvl w:val="2"/>
    </w:pPr>
    <w:rPr>
      <w:b/>
      <w:bCs/>
      <w:sz w:val="32"/>
      <w:szCs w:val="32"/>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rFonts w:ascii="Calibri" w:hAnsi="Calibri" w:eastAsia="宋体" w:cs="宋体"/>
      <w:sz w:val="18"/>
      <w:szCs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Char"/>
    <w:basedOn w:val="6"/>
    <w:link w:val="2"/>
    <w:qFormat/>
    <w:uiPriority w:val="0"/>
    <w:rPr>
      <w:rFonts w:ascii="Calibri" w:hAnsi="Calibri" w:eastAsia="宋体" w:cs="Times New Roman"/>
      <w:b/>
      <w:bCs/>
      <w:sz w:val="32"/>
      <w:szCs w:val="32"/>
    </w:rPr>
  </w:style>
  <w:style w:type="character" w:customStyle="1" w:styleId="8">
    <w:name w:val="段 Char"/>
    <w:link w:val="9"/>
    <w:qFormat/>
    <w:uiPriority w:val="0"/>
    <w:rPr>
      <w:rFonts w:ascii="宋体"/>
    </w:rPr>
  </w:style>
  <w:style w:type="paragraph" w:customStyle="1" w:styleId="9">
    <w:name w:val="段"/>
    <w:link w:val="8"/>
    <w:qFormat/>
    <w:uiPriority w:val="0"/>
    <w:pPr>
      <w:tabs>
        <w:tab w:val="center" w:pos="4201"/>
        <w:tab w:val="right" w:leader="dot" w:pos="9298"/>
      </w:tabs>
      <w:autoSpaceDE w:val="0"/>
      <w:autoSpaceDN w:val="0"/>
      <w:ind w:firstLine="420" w:firstLineChars="200"/>
      <w:jc w:val="both"/>
    </w:pPr>
    <w:rPr>
      <w:rFonts w:ascii="宋体" w:hAnsi="Calibri" w:eastAsia="宋体" w:cs="宋体"/>
      <w:kern w:val="2"/>
      <w:sz w:val="21"/>
      <w:szCs w:val="22"/>
      <w:lang w:val="en-US" w:eastAsia="zh-CN" w:bidi="ar-SA"/>
    </w:rPr>
  </w:style>
  <w:style w:type="character" w:customStyle="1" w:styleId="10">
    <w:name w:val="页脚 Char"/>
    <w:link w:val="3"/>
    <w:qFormat/>
    <w:uiPriority w:val="0"/>
    <w:rPr>
      <w:sz w:val="18"/>
      <w:szCs w:val="18"/>
    </w:rPr>
  </w:style>
  <w:style w:type="character" w:customStyle="1" w:styleId="11">
    <w:name w:val="页脚 Char1"/>
    <w:basedOn w:val="6"/>
    <w:link w:val="3"/>
    <w:qFormat/>
    <w:uiPriority w:val="99"/>
    <w:rPr>
      <w:rFonts w:ascii="Calibri" w:hAnsi="Calibri" w:eastAsia="宋体" w:cs="Times New Roman"/>
      <w:sz w:val="18"/>
      <w:szCs w:val="18"/>
    </w:rPr>
  </w:style>
  <w:style w:type="paragraph" w:customStyle="1" w:styleId="12">
    <w:name w:val="章标题"/>
    <w:next w:val="9"/>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character" w:customStyle="1" w:styleId="13">
    <w:name w:val="页眉 Char"/>
    <w:basedOn w:val="6"/>
    <w:link w:val="4"/>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3002</Words>
  <Characters>3232</Characters>
  <Paragraphs>157</Paragraphs>
  <TotalTime>30</TotalTime>
  <ScaleCrop>false</ScaleCrop>
  <LinksUpToDate>false</LinksUpToDate>
  <CharactersWithSpaces>3302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2023-06-02T07:48:00Z</dcterms:created>
  <dc:creator>黄绍敏</dc:creator>
  <cp:lastModifiedBy>Hélodie Jaqucline迪</cp:lastModifiedBy>
  <dcterms:modified xsi:type="dcterms:W3CDTF">2025-06-05T07:20:09Z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B42988E992934899872BA5B47C100C2E_13</vt:lpwstr>
  </property>
  <property fmtid="{D5CDD505-2E9C-101B-9397-08002B2CF9AE}" pid="4" name="KSOTemplateDocerSaveRecord">
    <vt:lpwstr>eyJoZGlkIjoiYzM3NDM3ZDQxMjc2MWYwZTAyMzdjMjM3NDQyNjhkOTciLCJ1c2VySWQiOiI1NzA1NzMxMDgifQ==</vt:lpwstr>
  </property>
</Properties>
</file>