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ind w:firstLine="360" w:firstLineChars="100"/>
        <w:jc w:val="center"/>
        <w:rPr>
          <w:rFonts w:ascii="黑体" w:hAnsi="黑体" w:eastAsia="黑体" w:cs="方正小标宋_GBK"/>
          <w:b w:val="0"/>
          <w:bCs w:val="0"/>
          <w:color w:val="auto"/>
          <w:sz w:val="36"/>
          <w:szCs w:val="36"/>
          <w:highlight w:val="none"/>
        </w:rPr>
      </w:pPr>
      <w:bookmarkStart w:id="1" w:name="_GoBack"/>
      <w:bookmarkStart w:id="0" w:name="_Toc399166881"/>
      <w:r>
        <w:rPr>
          <w:rFonts w:hint="eastAsia" w:ascii="黑体" w:hAnsi="黑体" w:eastAsia="黑体" w:cs="方正小标宋_GBK"/>
          <w:b w:val="0"/>
          <w:bCs w:val="0"/>
          <w:color w:val="auto"/>
          <w:sz w:val="36"/>
          <w:szCs w:val="36"/>
          <w:highlight w:val="none"/>
          <w:lang w:val="en-US" w:eastAsia="zh-CN"/>
        </w:rPr>
        <w:t>2025</w:t>
      </w:r>
      <w:r>
        <w:rPr>
          <w:rFonts w:hint="eastAsia" w:ascii="黑体" w:hAnsi="黑体" w:eastAsia="黑体" w:cs="方正小标宋_GBK"/>
          <w:b w:val="0"/>
          <w:bCs w:val="0"/>
          <w:color w:val="auto"/>
          <w:sz w:val="36"/>
          <w:szCs w:val="36"/>
          <w:highlight w:val="none"/>
        </w:rPr>
        <w:t>年</w:t>
      </w:r>
      <w:r>
        <w:rPr>
          <w:rFonts w:hint="eastAsia" w:ascii="黑体" w:hAnsi="黑体" w:eastAsia="黑体" w:cs="方正小标宋_GBK"/>
          <w:b w:val="0"/>
          <w:bCs w:val="0"/>
          <w:color w:val="auto"/>
          <w:sz w:val="36"/>
          <w:szCs w:val="36"/>
          <w:highlight w:val="none"/>
        </w:rPr>
        <w:t>汽车内饰材料产品质量广西监督抽查实施细则</w:t>
      </w:r>
      <w:bookmarkEnd w:id="0"/>
    </w:p>
    <w:p>
      <w:pPr>
        <w:rPr>
          <w:color w:val="auto"/>
          <w:highlight w:val="none"/>
        </w:rPr>
      </w:pPr>
    </w:p>
    <w:p>
      <w:pPr>
        <w:spacing w:line="360" w:lineRule="auto"/>
        <w:rPr>
          <w:rFonts w:ascii="宋体" w:hAnsi="宋体"/>
          <w:b/>
          <w:color w:val="auto"/>
          <w:szCs w:val="21"/>
          <w:highlight w:val="none"/>
        </w:rPr>
      </w:pPr>
      <w:r>
        <w:rPr>
          <w:rFonts w:hint="eastAsia" w:ascii="宋体" w:hAnsi="宋体"/>
          <w:b/>
          <w:color w:val="auto"/>
          <w:szCs w:val="21"/>
          <w:highlight w:val="none"/>
        </w:rPr>
        <w:t>1  范围</w:t>
      </w:r>
    </w:p>
    <w:p>
      <w:pPr>
        <w:spacing w:line="360" w:lineRule="auto"/>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本细则适用于汽车内饰材料产品质量广西监督抽查，其他市场监管部门组织的及针对特殊情况的监督抽查可参考本细则执行。监督抽查产品范围为汽车内饰材料产品。本细则内容包括产品种类、术语和定义、检验依据、抽样、检验要求、判定原则、异议处理。</w:t>
      </w:r>
    </w:p>
    <w:p>
      <w:pPr>
        <w:spacing w:line="360" w:lineRule="auto"/>
        <w:rPr>
          <w:rFonts w:ascii="宋体" w:hAnsi="宋体"/>
          <w:b/>
          <w:color w:val="auto"/>
          <w:szCs w:val="21"/>
          <w:highlight w:val="none"/>
        </w:rPr>
      </w:pPr>
      <w:r>
        <w:rPr>
          <w:rFonts w:hint="eastAsia" w:ascii="宋体" w:hAnsi="宋体"/>
          <w:b/>
          <w:color w:val="auto"/>
          <w:szCs w:val="21"/>
          <w:highlight w:val="none"/>
        </w:rPr>
        <w:t>2  产品种类</w:t>
      </w:r>
    </w:p>
    <w:p>
      <w:pPr>
        <w:snapToGrid w:val="0"/>
        <w:spacing w:line="440" w:lineRule="exact"/>
        <w:ind w:firstLine="403" w:firstLineChars="192"/>
        <w:rPr>
          <w:rFonts w:ascii="宋体" w:hAnsi="宋体"/>
          <w:color w:val="auto"/>
          <w:szCs w:val="21"/>
          <w:highlight w:val="none"/>
        </w:rPr>
      </w:pPr>
      <w:r>
        <w:rPr>
          <w:rFonts w:hint="eastAsia" w:ascii="宋体" w:hAnsi="宋体" w:cs="宋体"/>
          <w:color w:val="auto"/>
          <w:highlight w:val="none"/>
        </w:rPr>
        <w:t>本次监督抽查</w:t>
      </w:r>
      <w:r>
        <w:rPr>
          <w:rFonts w:hint="eastAsia" w:ascii="宋体" w:hAnsi="宋体" w:cs="Sim Sun"/>
          <w:color w:val="auto"/>
          <w:kern w:val="0"/>
          <w:szCs w:val="21"/>
          <w:highlight w:val="none"/>
        </w:rPr>
        <w:t>汽车内饰材料</w:t>
      </w:r>
      <w:r>
        <w:rPr>
          <w:rFonts w:hint="eastAsia" w:ascii="宋体" w:hAnsi="宋体" w:cs="宋体"/>
          <w:color w:val="auto"/>
          <w:highlight w:val="none"/>
        </w:rPr>
        <w:t>产品包括以下多种产品类型：</w:t>
      </w:r>
    </w:p>
    <w:p>
      <w:pPr>
        <w:snapToGrid w:val="0"/>
        <w:spacing w:line="440" w:lineRule="exact"/>
        <w:ind w:firstLine="403" w:firstLineChars="192"/>
        <w:rPr>
          <w:rFonts w:ascii="宋体" w:hAnsi="宋体"/>
          <w:color w:val="auto"/>
          <w:szCs w:val="21"/>
          <w:highlight w:val="none"/>
        </w:rPr>
      </w:pPr>
      <w:r>
        <w:rPr>
          <w:rFonts w:hint="eastAsia" w:ascii="宋体" w:hAnsi="宋体"/>
          <w:color w:val="auto"/>
          <w:szCs w:val="21"/>
          <w:highlight w:val="none"/>
        </w:rPr>
        <w:t>——单一材料</w:t>
      </w:r>
    </w:p>
    <w:p>
      <w:pPr>
        <w:snapToGrid w:val="0"/>
        <w:spacing w:line="440" w:lineRule="exact"/>
        <w:ind w:firstLine="403" w:firstLineChars="192"/>
        <w:rPr>
          <w:rFonts w:ascii="宋体" w:hAnsi="宋体"/>
          <w:color w:val="auto"/>
          <w:szCs w:val="21"/>
          <w:highlight w:val="none"/>
        </w:rPr>
      </w:pPr>
      <w:r>
        <w:rPr>
          <w:rFonts w:hint="eastAsia" w:ascii="宋体" w:hAnsi="宋体"/>
          <w:color w:val="auto"/>
          <w:szCs w:val="21"/>
          <w:highlight w:val="none"/>
        </w:rPr>
        <w:t>——层积复合材料</w:t>
      </w:r>
    </w:p>
    <w:p>
      <w:pPr>
        <w:spacing w:line="360" w:lineRule="auto"/>
        <w:rPr>
          <w:rFonts w:ascii="宋体" w:hAnsi="宋体"/>
          <w:b/>
          <w:color w:val="auto"/>
          <w:szCs w:val="21"/>
          <w:highlight w:val="none"/>
        </w:rPr>
      </w:pPr>
      <w:r>
        <w:rPr>
          <w:rFonts w:hint="eastAsia" w:ascii="宋体" w:hAnsi="宋体"/>
          <w:b/>
          <w:color w:val="auto"/>
          <w:szCs w:val="21"/>
          <w:highlight w:val="none"/>
        </w:rPr>
        <w:t>3</w:t>
      </w:r>
      <w:r>
        <w:rPr>
          <w:rFonts w:ascii="宋体" w:hAnsi="宋体"/>
          <w:b/>
          <w:color w:val="auto"/>
          <w:szCs w:val="21"/>
          <w:highlight w:val="none"/>
        </w:rPr>
        <w:t xml:space="preserve"> </w:t>
      </w:r>
      <w:r>
        <w:rPr>
          <w:rFonts w:hint="eastAsia" w:ascii="宋体" w:hAnsi="宋体"/>
          <w:b/>
          <w:color w:val="auto"/>
          <w:szCs w:val="21"/>
          <w:highlight w:val="none"/>
        </w:rPr>
        <w:t xml:space="preserve"> 术语和定义</w:t>
      </w:r>
    </w:p>
    <w:p>
      <w:pPr>
        <w:snapToGrid w:val="0"/>
        <w:spacing w:line="440" w:lineRule="exact"/>
        <w:ind w:firstLine="315" w:firstLineChars="150"/>
        <w:rPr>
          <w:color w:val="auto"/>
          <w:highlight w:val="none"/>
        </w:rPr>
      </w:pPr>
      <w:r>
        <w:rPr>
          <w:rFonts w:hint="eastAsia"/>
          <w:color w:val="auto"/>
          <w:highlight w:val="none"/>
        </w:rPr>
        <w:t>下列术语和定义适用于本细则。</w:t>
      </w:r>
    </w:p>
    <w:p>
      <w:pPr>
        <w:snapToGrid w:val="0"/>
        <w:spacing w:line="440" w:lineRule="exact"/>
        <w:ind w:firstLine="315" w:firstLineChars="150"/>
        <w:rPr>
          <w:color w:val="auto"/>
          <w:highlight w:val="none"/>
        </w:rPr>
      </w:pPr>
      <w:r>
        <w:rPr>
          <w:rFonts w:hint="eastAsia"/>
          <w:color w:val="auto"/>
          <w:highlight w:val="none"/>
        </w:rPr>
        <w:t>层积复合材料：若干层相似或不同材料，其表面之间由熔接、粘接、焊接等不同方法使全面紧密结合在一起的材料。</w:t>
      </w:r>
    </w:p>
    <w:p>
      <w:pPr>
        <w:snapToGrid w:val="0"/>
        <w:spacing w:line="440" w:lineRule="exact"/>
        <w:ind w:firstLine="315" w:firstLineChars="150"/>
        <w:rPr>
          <w:color w:val="auto"/>
          <w:highlight w:val="none"/>
        </w:rPr>
      </w:pPr>
      <w:r>
        <w:rPr>
          <w:rFonts w:hint="eastAsia"/>
          <w:color w:val="auto"/>
          <w:highlight w:val="none"/>
        </w:rPr>
        <w:t>单一材料：由同种材料构成的均匀的整体材料。</w:t>
      </w:r>
    </w:p>
    <w:p>
      <w:pPr>
        <w:snapToGrid w:val="0"/>
        <w:spacing w:line="440" w:lineRule="exact"/>
        <w:ind w:firstLine="315" w:firstLineChars="150"/>
        <w:rPr>
          <w:color w:val="auto"/>
          <w:highlight w:val="none"/>
        </w:rPr>
      </w:pPr>
      <w:r>
        <w:rPr>
          <w:rFonts w:hint="eastAsia"/>
          <w:color w:val="auto"/>
          <w:highlight w:val="none"/>
        </w:rPr>
        <w:t>若不同材料断续连接在一起（例如缝纫、高频焊接、铆接），这种材料应认为不是层积复合材料，每种材料均属单一材料。</w:t>
      </w:r>
    </w:p>
    <w:p>
      <w:pPr>
        <w:snapToGrid w:val="0"/>
        <w:spacing w:line="440" w:lineRule="exact"/>
        <w:ind w:firstLine="315" w:firstLineChars="150"/>
        <w:rPr>
          <w:rFonts w:ascii="宋体" w:hAnsi="宋体" w:eastAsia="宋体" w:cs="方正小标宋_GBK"/>
          <w:b/>
          <w:bCs/>
          <w:color w:val="auto"/>
          <w:szCs w:val="21"/>
          <w:highlight w:val="none"/>
        </w:rPr>
      </w:pPr>
      <w:r>
        <w:rPr>
          <w:rFonts w:hint="eastAsia"/>
          <w:color w:val="auto"/>
          <w:highlight w:val="none"/>
        </w:rPr>
        <w:t>内饰材料：</w:t>
      </w:r>
      <w:r>
        <w:rPr>
          <w:rFonts w:hint="eastAsia" w:ascii="宋体" w:hAnsi="宋体"/>
          <w:color w:val="auto"/>
          <w:szCs w:val="21"/>
          <w:highlight w:val="none"/>
        </w:rPr>
        <w:t>汽车内饰零件所用的单一材料或层积复合材料，如座垫、座椅靠背、座椅套、安全带、头枕、扶手、活动式折叠车顶、所有装饰性衬板</w:t>
      </w:r>
      <w:r>
        <w:rPr>
          <w:rFonts w:ascii="宋体" w:hAnsi="宋体"/>
          <w:color w:val="auto"/>
          <w:szCs w:val="21"/>
          <w:highlight w:val="none"/>
        </w:rPr>
        <w:t>(</w:t>
      </w:r>
      <w:r>
        <w:rPr>
          <w:rFonts w:hint="eastAsia" w:ascii="宋体" w:hAnsi="宋体"/>
          <w:color w:val="auto"/>
          <w:szCs w:val="21"/>
          <w:highlight w:val="none"/>
        </w:rPr>
        <w:t>包括门内护板、侧围护板、后围护板、车顶棚衬里</w:t>
      </w:r>
      <w:r>
        <w:rPr>
          <w:rFonts w:ascii="宋体" w:hAnsi="宋体"/>
          <w:color w:val="auto"/>
          <w:szCs w:val="21"/>
          <w:highlight w:val="none"/>
        </w:rPr>
        <w:t>)</w:t>
      </w:r>
      <w:r>
        <w:rPr>
          <w:rFonts w:hint="eastAsia" w:ascii="宋体" w:hAnsi="宋体"/>
          <w:color w:val="auto"/>
          <w:szCs w:val="21"/>
          <w:highlight w:val="none"/>
        </w:rPr>
        <w:t>、仪表板、杂物箱、室内货架板或后窗台板、窗帘、地板覆盖层、遮阳板、轮罩覆盖物、发动机罩覆盖物和其他任何室内有机材料，包括撞车时吸收碰撞能量的填料、缓冲装置等材料。</w:t>
      </w:r>
    </w:p>
    <w:p>
      <w:pPr>
        <w:snapToGrid w:val="0"/>
        <w:spacing w:line="440" w:lineRule="exact"/>
        <w:ind w:firstLine="315" w:firstLineChars="150"/>
        <w:rPr>
          <w:rFonts w:ascii="宋体" w:hAnsi="宋体"/>
          <w:color w:val="auto"/>
          <w:szCs w:val="21"/>
          <w:highlight w:val="none"/>
        </w:rPr>
      </w:pPr>
      <w:r>
        <w:rPr>
          <w:rFonts w:hint="eastAsia" w:ascii="宋体" w:hAnsi="宋体"/>
          <w:color w:val="auto"/>
          <w:szCs w:val="21"/>
          <w:highlight w:val="none"/>
        </w:rPr>
        <w:t>本细则中未列出的术语和定义同相关引用标准。</w:t>
      </w:r>
    </w:p>
    <w:p>
      <w:pPr>
        <w:spacing w:line="360" w:lineRule="auto"/>
        <w:rPr>
          <w:rFonts w:ascii="宋体" w:hAnsi="宋体"/>
          <w:b/>
          <w:color w:val="auto"/>
          <w:szCs w:val="21"/>
          <w:highlight w:val="none"/>
        </w:rPr>
      </w:pPr>
      <w:r>
        <w:rPr>
          <w:rFonts w:hint="eastAsia" w:ascii="宋体" w:hAnsi="宋体"/>
          <w:b/>
          <w:color w:val="auto"/>
          <w:szCs w:val="21"/>
          <w:highlight w:val="none"/>
        </w:rPr>
        <w:t>4  检验依据</w:t>
      </w:r>
    </w:p>
    <w:p>
      <w:pPr>
        <w:snapToGrid w:val="0"/>
        <w:spacing w:line="440" w:lineRule="exact"/>
        <w:ind w:firstLine="315" w:firstLineChars="150"/>
        <w:rPr>
          <w:rFonts w:ascii="宋体" w:hAnsi="宋体"/>
          <w:color w:val="auto"/>
          <w:szCs w:val="21"/>
          <w:highlight w:val="none"/>
        </w:rPr>
      </w:pPr>
      <w:r>
        <w:rPr>
          <w:rFonts w:hint="eastAsia" w:ascii="宋体" w:hAnsi="宋体"/>
          <w:color w:val="auto"/>
          <w:szCs w:val="21"/>
          <w:highlight w:val="none"/>
        </w:rPr>
        <w:t>凡是注日期的文件，其随后所有的修改单（不包括勘误的内容）或修订版不适用于本细则。凡是不注日期的引用文件，其最新版本适用于本细则。</w:t>
      </w:r>
    </w:p>
    <w:p>
      <w:pPr>
        <w:snapToGrid w:val="0"/>
        <w:spacing w:line="440" w:lineRule="exact"/>
        <w:ind w:firstLine="525" w:firstLineChars="250"/>
        <w:rPr>
          <w:rFonts w:hint="eastAsia" w:ascii="宋体" w:hAnsi="宋体" w:eastAsia="宋体"/>
          <w:color w:val="auto"/>
          <w:szCs w:val="21"/>
          <w:highlight w:val="none"/>
        </w:rPr>
      </w:pPr>
      <w:r>
        <w:rPr>
          <w:rFonts w:hint="eastAsia" w:ascii="宋体" w:hAnsi="宋体"/>
          <w:color w:val="auto"/>
          <w:szCs w:val="21"/>
          <w:highlight w:val="none"/>
        </w:rPr>
        <w:t xml:space="preserve">QC/T 941-2013 </w:t>
      </w:r>
      <w:r>
        <w:rPr>
          <w:rFonts w:hint="eastAsia" w:ascii="宋体" w:hAnsi="宋体" w:eastAsia="宋体"/>
          <w:color w:val="auto"/>
          <w:szCs w:val="21"/>
          <w:highlight w:val="none"/>
        </w:rPr>
        <w:t>汽车材料中汞的检测方法</w:t>
      </w:r>
    </w:p>
    <w:p>
      <w:pPr>
        <w:snapToGrid w:val="0"/>
        <w:spacing w:line="440" w:lineRule="exact"/>
        <w:ind w:firstLine="525" w:firstLineChars="250"/>
        <w:rPr>
          <w:rFonts w:hint="eastAsia" w:ascii="宋体" w:hAnsi="宋体" w:eastAsia="宋体"/>
          <w:color w:val="auto"/>
          <w:szCs w:val="21"/>
          <w:highlight w:val="none"/>
        </w:rPr>
      </w:pPr>
      <w:r>
        <w:rPr>
          <w:rFonts w:hint="eastAsia" w:ascii="宋体" w:hAnsi="宋体" w:eastAsia="宋体"/>
          <w:color w:val="auto"/>
          <w:szCs w:val="21"/>
          <w:highlight w:val="none"/>
        </w:rPr>
        <w:t>QC/T 942-2013 汽车材料中六价铬的检测方法</w:t>
      </w:r>
    </w:p>
    <w:p>
      <w:pPr>
        <w:snapToGrid w:val="0"/>
        <w:spacing w:line="440" w:lineRule="exact"/>
        <w:ind w:firstLine="525" w:firstLineChars="250"/>
        <w:rPr>
          <w:rFonts w:hint="eastAsia" w:ascii="宋体" w:hAnsi="宋体" w:eastAsia="宋体"/>
          <w:color w:val="auto"/>
          <w:szCs w:val="21"/>
          <w:highlight w:val="none"/>
        </w:rPr>
      </w:pPr>
      <w:r>
        <w:rPr>
          <w:rFonts w:hint="eastAsia" w:ascii="宋体" w:hAnsi="宋体"/>
          <w:color w:val="auto"/>
          <w:szCs w:val="21"/>
          <w:highlight w:val="none"/>
        </w:rPr>
        <w:t>QC/T 943-2013</w:t>
      </w:r>
      <w:r>
        <w:rPr>
          <w:rFonts w:hint="eastAsia" w:ascii="宋体" w:hAnsi="宋体" w:eastAsia="宋体"/>
          <w:color w:val="auto"/>
          <w:szCs w:val="21"/>
          <w:highlight w:val="none"/>
        </w:rPr>
        <w:t xml:space="preserve"> </w:t>
      </w:r>
      <w:r>
        <w:rPr>
          <w:rFonts w:hint="eastAsia" w:ascii="宋体" w:hAnsi="宋体" w:eastAsia="宋体"/>
          <w:color w:val="auto"/>
          <w:szCs w:val="21"/>
          <w:highlight w:val="none"/>
        </w:rPr>
        <w:t> 汽车材料中铅、镉的检测方法</w:t>
      </w:r>
    </w:p>
    <w:p>
      <w:pPr>
        <w:snapToGrid w:val="0"/>
        <w:spacing w:line="440" w:lineRule="exact"/>
        <w:ind w:firstLine="525" w:firstLineChars="250"/>
        <w:rPr>
          <w:rFonts w:ascii="宋体" w:hAnsi="宋体" w:eastAsia="宋体"/>
          <w:color w:val="auto"/>
          <w:szCs w:val="21"/>
          <w:highlight w:val="none"/>
        </w:rPr>
      </w:pPr>
      <w:r>
        <w:rPr>
          <w:rFonts w:hint="eastAsia" w:ascii="宋体" w:hAnsi="宋体"/>
          <w:color w:val="auto"/>
          <w:szCs w:val="21"/>
          <w:highlight w:val="none"/>
        </w:rPr>
        <w:t>QC/T 944-2013</w:t>
      </w:r>
      <w:r>
        <w:rPr>
          <w:rFonts w:hint="eastAsia" w:ascii="宋体" w:hAnsi="宋体" w:eastAsia="宋体"/>
          <w:color w:val="auto"/>
          <w:szCs w:val="21"/>
          <w:highlight w:val="none"/>
        </w:rPr>
        <w:t>汽车材料中多溴联苯（PBBs）和多溴二苯醚（PBDEs）的检测方法</w:t>
      </w:r>
    </w:p>
    <w:p>
      <w:pPr>
        <w:snapToGrid w:val="0"/>
        <w:spacing w:line="440" w:lineRule="exact"/>
        <w:ind w:firstLine="525" w:firstLineChars="250"/>
        <w:rPr>
          <w:rFonts w:ascii="宋体" w:hAnsi="宋体"/>
          <w:color w:val="auto"/>
          <w:szCs w:val="21"/>
          <w:highlight w:val="none"/>
        </w:rPr>
      </w:pPr>
      <w:r>
        <w:rPr>
          <w:rFonts w:ascii="宋体" w:hAnsi="宋体"/>
          <w:color w:val="auto"/>
          <w:szCs w:val="21"/>
          <w:highlight w:val="none"/>
        </w:rPr>
        <w:t>GB 8410-2006</w:t>
      </w:r>
      <w:r>
        <w:rPr>
          <w:rFonts w:hint="eastAsia" w:ascii="宋体" w:hAnsi="宋体"/>
          <w:color w:val="auto"/>
          <w:szCs w:val="21"/>
          <w:highlight w:val="none"/>
        </w:rPr>
        <w:t xml:space="preserve">  </w:t>
      </w:r>
      <w:r>
        <w:rPr>
          <w:rFonts w:ascii="宋体" w:hAnsi="宋体"/>
          <w:color w:val="auto"/>
          <w:szCs w:val="21"/>
          <w:highlight w:val="none"/>
        </w:rPr>
        <w:t>汽车内饰材料的燃烧特性</w:t>
      </w:r>
    </w:p>
    <w:p>
      <w:pPr>
        <w:snapToGrid w:val="0"/>
        <w:spacing w:line="440" w:lineRule="exact"/>
        <w:ind w:firstLine="525" w:firstLineChars="250"/>
        <w:rPr>
          <w:rFonts w:hint="eastAsia" w:ascii="宋体" w:hAnsi="宋体"/>
          <w:color w:val="auto"/>
          <w:szCs w:val="21"/>
          <w:highlight w:val="none"/>
        </w:rPr>
      </w:pPr>
      <w:r>
        <w:rPr>
          <w:rFonts w:hint="eastAsia" w:ascii="宋体" w:hAnsi="宋体"/>
          <w:color w:val="auto"/>
          <w:szCs w:val="21"/>
          <w:highlight w:val="none"/>
        </w:rPr>
        <w:t>GB/T 30512-2014  汽车禁用物质要求</w:t>
      </w:r>
    </w:p>
    <w:p>
      <w:pPr>
        <w:snapToGrid w:val="0"/>
        <w:spacing w:line="440" w:lineRule="atLeast"/>
        <w:rPr>
          <w:rFonts w:ascii="宋体" w:hAnsi="宋体"/>
          <w:color w:val="auto"/>
          <w:szCs w:val="21"/>
          <w:highlight w:val="none"/>
        </w:rPr>
      </w:pPr>
      <w:r>
        <w:rPr>
          <w:rFonts w:hint="eastAsia" w:ascii="宋体" w:hAnsi="宋体" w:cs="宋体"/>
          <w:bCs/>
          <w:color w:val="auto"/>
          <w:highlight w:val="none"/>
          <w:lang w:val="zh-CN"/>
        </w:rPr>
        <w:t>相关的法律法规、部门规章和规范</w:t>
      </w:r>
    </w:p>
    <w:p>
      <w:pPr>
        <w:snapToGrid w:val="0"/>
        <w:spacing w:line="440" w:lineRule="exact"/>
        <w:rPr>
          <w:rFonts w:ascii="宋体" w:hAnsi="宋体"/>
          <w:color w:val="auto"/>
          <w:szCs w:val="21"/>
          <w:highlight w:val="none"/>
        </w:rPr>
      </w:pPr>
      <w:r>
        <w:rPr>
          <w:rFonts w:hint="eastAsia" w:ascii="宋体" w:hAnsi="宋体" w:cs="Sim Sun"/>
          <w:color w:val="auto"/>
          <w:kern w:val="0"/>
          <w:szCs w:val="21"/>
          <w:highlight w:val="none"/>
        </w:rPr>
        <w:t>现行有效的企业标准、团体标准、地方标准及产品明示质量要求</w:t>
      </w:r>
      <w:r>
        <w:rPr>
          <w:rFonts w:hint="eastAsia" w:ascii="宋体" w:hAnsi="宋体"/>
          <w:color w:val="auto"/>
          <w:szCs w:val="21"/>
          <w:highlight w:val="none"/>
        </w:rPr>
        <w:t>。</w:t>
      </w:r>
    </w:p>
    <w:p>
      <w:pPr>
        <w:snapToGrid w:val="0"/>
        <w:spacing w:line="440" w:lineRule="exact"/>
        <w:rPr>
          <w:rFonts w:ascii="宋体" w:hAnsi="宋体"/>
          <w:b/>
          <w:color w:val="auto"/>
          <w:szCs w:val="21"/>
          <w:highlight w:val="none"/>
        </w:rPr>
      </w:pPr>
      <w:r>
        <w:rPr>
          <w:rFonts w:hint="eastAsia" w:ascii="宋体" w:hAnsi="宋体"/>
          <w:b/>
          <w:color w:val="auto"/>
          <w:szCs w:val="21"/>
          <w:highlight w:val="none"/>
        </w:rPr>
        <w:t>5  抽样</w:t>
      </w:r>
    </w:p>
    <w:p>
      <w:pPr>
        <w:snapToGrid w:val="0"/>
        <w:spacing w:line="440" w:lineRule="atLeast"/>
        <w:rPr>
          <w:rFonts w:ascii="宋体" w:hAnsi="宋体"/>
          <w:color w:val="auto"/>
          <w:szCs w:val="21"/>
          <w:highlight w:val="none"/>
        </w:rPr>
      </w:pPr>
      <w:r>
        <w:rPr>
          <w:rFonts w:hint="eastAsia" w:ascii="宋体" w:hAnsi="宋体"/>
          <w:color w:val="auto"/>
          <w:szCs w:val="21"/>
          <w:highlight w:val="none"/>
        </w:rPr>
        <w:t>5.1抽样型号或规格</w:t>
      </w:r>
    </w:p>
    <w:p>
      <w:pPr>
        <w:snapToGrid w:val="0"/>
        <w:spacing w:line="440" w:lineRule="atLeast"/>
        <w:ind w:firstLine="420" w:firstLineChars="200"/>
        <w:rPr>
          <w:rFonts w:ascii="宋体" w:hAnsi="宋体"/>
          <w:color w:val="auto"/>
          <w:szCs w:val="21"/>
          <w:highlight w:val="none"/>
        </w:rPr>
      </w:pPr>
      <w:r>
        <w:rPr>
          <w:rFonts w:hint="eastAsia" w:ascii="宋体" w:hAnsi="宋体"/>
          <w:color w:val="auto"/>
          <w:szCs w:val="21"/>
          <w:highlight w:val="none"/>
        </w:rPr>
        <w:t>应抽取按照同一标准生产的同一商标、同一规格型号的产品。抽样型号或规格应符合 GB 8410-2006、GB/T 30512-2014 的规定，优先抽取企业主导产品的型号规格。</w:t>
      </w:r>
    </w:p>
    <w:p>
      <w:pPr>
        <w:snapToGrid w:val="0"/>
        <w:spacing w:line="440" w:lineRule="atLeast"/>
        <w:rPr>
          <w:rFonts w:ascii="宋体" w:hAnsi="宋体"/>
          <w:color w:val="auto"/>
          <w:szCs w:val="21"/>
          <w:highlight w:val="none"/>
        </w:rPr>
      </w:pPr>
      <w:r>
        <w:rPr>
          <w:rFonts w:hint="eastAsia" w:ascii="宋体" w:hAnsi="宋体"/>
          <w:color w:val="auto"/>
          <w:szCs w:val="21"/>
          <w:highlight w:val="none"/>
        </w:rPr>
        <w:t>5.2 抽样方法、基数、数量及注意事项</w:t>
      </w:r>
    </w:p>
    <w:p>
      <w:pPr>
        <w:spacing w:line="440" w:lineRule="exact"/>
        <w:rPr>
          <w:rFonts w:ascii="宋体" w:hAnsi="宋体"/>
          <w:color w:val="auto"/>
          <w:szCs w:val="21"/>
          <w:highlight w:val="none"/>
        </w:rPr>
      </w:pPr>
      <w:r>
        <w:rPr>
          <w:rFonts w:hint="eastAsia" w:ascii="宋体" w:hAnsi="宋体"/>
          <w:color w:val="auto"/>
          <w:szCs w:val="21"/>
          <w:highlight w:val="none"/>
        </w:rPr>
        <w:t>5.2.1 抽样方法</w:t>
      </w:r>
    </w:p>
    <w:p>
      <w:pPr>
        <w:spacing w:line="44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在企业成品库内或成品堆放区随机抽取有产品质量检验合格证明或者以其他形式表明已检验合格的、近期生产的产品（特殊情况除外）。</w:t>
      </w:r>
    </w:p>
    <w:p>
      <w:pPr>
        <w:spacing w:line="44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随机数一般可使用随机数表、骰子、随机数发生器（手机软件及科学计算器等）或扑克牌等方法产生。</w:t>
      </w:r>
    </w:p>
    <w:p>
      <w:pPr>
        <w:spacing w:line="44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在流通领域抽取经企业检验合格或以任何方式表明合格（合格证、合格报告、企业相关人员确认等方式均可）的产品。</w:t>
      </w:r>
    </w:p>
    <w:p>
      <w:pPr>
        <w:spacing w:line="440" w:lineRule="exact"/>
        <w:ind w:firstLine="420" w:firstLineChars="200"/>
        <w:rPr>
          <w:rFonts w:ascii="宋体" w:hAnsi="宋体"/>
          <w:color w:val="auto"/>
          <w:szCs w:val="21"/>
          <w:highlight w:val="none"/>
        </w:rPr>
      </w:pPr>
      <w:r>
        <w:rPr>
          <w:rFonts w:hint="eastAsia" w:ascii="宋体" w:hAnsi="宋体" w:cs="Sim Sun"/>
          <w:color w:val="auto"/>
          <w:kern w:val="0"/>
          <w:szCs w:val="21"/>
          <w:highlight w:val="none"/>
        </w:rPr>
        <w:t>所抽取产品的保质期（未注明保质期的按尚在保质期内处理）应能确保整个监督抽查（包含异议处理）工作的完成，原则上距离失效日期不少于半年（保质期较短的产品除外）</w:t>
      </w:r>
      <w:r>
        <w:rPr>
          <w:rFonts w:hint="eastAsia" w:ascii="宋体" w:hAnsi="宋体"/>
          <w:color w:val="auto"/>
          <w:szCs w:val="21"/>
          <w:highlight w:val="none"/>
        </w:rPr>
        <w:t>。</w:t>
      </w:r>
    </w:p>
    <w:p>
      <w:pPr>
        <w:spacing w:line="440" w:lineRule="exact"/>
        <w:rPr>
          <w:rFonts w:ascii="宋体" w:hAnsi="宋体"/>
          <w:color w:val="auto"/>
          <w:szCs w:val="21"/>
          <w:highlight w:val="none"/>
        </w:rPr>
      </w:pPr>
      <w:r>
        <w:rPr>
          <w:rFonts w:hint="eastAsia" w:ascii="宋体" w:hAnsi="宋体"/>
          <w:color w:val="auto"/>
          <w:szCs w:val="21"/>
          <w:highlight w:val="none"/>
        </w:rPr>
        <w:t>5.2.2 抽样基数</w:t>
      </w:r>
    </w:p>
    <w:p>
      <w:pPr>
        <w:spacing w:line="440" w:lineRule="exact"/>
        <w:ind w:firstLine="420" w:firstLineChars="200"/>
        <w:rPr>
          <w:color w:val="auto"/>
          <w:szCs w:val="21"/>
          <w:highlight w:val="none"/>
        </w:rPr>
      </w:pPr>
      <w:r>
        <w:rPr>
          <w:rFonts w:hint="eastAsia" w:ascii="宋体" w:hAnsi="宋体" w:cs="宋体"/>
          <w:color w:val="auto"/>
          <w:kern w:val="0"/>
          <w:szCs w:val="21"/>
          <w:highlight w:val="none"/>
        </w:rPr>
        <w:t>抽样基数满足抽样数量即可。</w:t>
      </w:r>
    </w:p>
    <w:p>
      <w:pPr>
        <w:spacing w:line="440" w:lineRule="exact"/>
        <w:rPr>
          <w:rFonts w:ascii="宋体" w:hAnsi="宋体"/>
          <w:color w:val="auto"/>
          <w:szCs w:val="21"/>
          <w:highlight w:val="none"/>
        </w:rPr>
      </w:pPr>
      <w:r>
        <w:rPr>
          <w:rFonts w:hint="eastAsia" w:ascii="宋体" w:hAnsi="宋体"/>
          <w:color w:val="auto"/>
          <w:szCs w:val="21"/>
          <w:highlight w:val="none"/>
        </w:rPr>
        <w:t>5.2.3 抽样数量</w:t>
      </w:r>
    </w:p>
    <w:p>
      <w:pPr>
        <w:spacing w:line="440" w:lineRule="exact"/>
        <w:rPr>
          <w:color w:val="auto"/>
          <w:szCs w:val="21"/>
          <w:highlight w:val="none"/>
        </w:rPr>
      </w:pPr>
      <w:r>
        <w:rPr>
          <w:rFonts w:hint="eastAsia" w:ascii="宋体" w:hAnsi="宋体"/>
          <w:color w:val="auto"/>
          <w:szCs w:val="21"/>
          <w:highlight w:val="none"/>
        </w:rPr>
        <w:t>5.2.3.1</w:t>
      </w:r>
      <w:r>
        <w:rPr>
          <w:rFonts w:hint="eastAsia"/>
          <w:color w:val="auto"/>
          <w:szCs w:val="21"/>
          <w:highlight w:val="none"/>
        </w:rPr>
        <w:t xml:space="preserve"> 抽取能满足制备5块</w:t>
      </w:r>
      <w:r>
        <w:rPr>
          <w:rFonts w:hint="eastAsia" w:ascii="宋体" w:hAnsi="宋体"/>
          <w:color w:val="auto"/>
          <w:highlight w:val="none"/>
        </w:rPr>
        <w:t>356 mm×100mm标准试样的样品作为检验样品，另抽取同样数量的样品作为备用样品。</w:t>
      </w:r>
    </w:p>
    <w:p>
      <w:pPr>
        <w:spacing w:line="440" w:lineRule="exact"/>
        <w:rPr>
          <w:rFonts w:ascii="宋体" w:hAnsi="宋体"/>
          <w:color w:val="auto"/>
          <w:highlight w:val="none"/>
        </w:rPr>
      </w:pPr>
      <w:r>
        <w:rPr>
          <w:rFonts w:hint="eastAsia" w:ascii="宋体" w:hAnsi="宋体"/>
          <w:color w:val="auto"/>
          <w:szCs w:val="21"/>
          <w:highlight w:val="none"/>
        </w:rPr>
        <w:t>5.2.3.2</w:t>
      </w:r>
      <w:r>
        <w:rPr>
          <w:rFonts w:ascii="宋体" w:hAnsi="宋体"/>
          <w:color w:val="auto"/>
          <w:szCs w:val="21"/>
          <w:highlight w:val="none"/>
        </w:rPr>
        <w:t xml:space="preserve"> </w:t>
      </w:r>
      <w:r>
        <w:rPr>
          <w:rFonts w:hint="eastAsia" w:ascii="宋体" w:hAnsi="宋体"/>
          <w:color w:val="auto"/>
          <w:highlight w:val="none"/>
        </w:rPr>
        <w:t>宽度介于</w:t>
      </w:r>
      <w:r>
        <w:rPr>
          <w:rFonts w:ascii="宋体" w:hAnsi="宋体"/>
          <w:color w:val="auto"/>
          <w:highlight w:val="none"/>
        </w:rPr>
        <w:t>3mm-60mm</w:t>
      </w:r>
      <w:r>
        <w:rPr>
          <w:rFonts w:hint="eastAsia" w:ascii="宋体" w:hAnsi="宋体"/>
          <w:color w:val="auto"/>
          <w:highlight w:val="none"/>
        </w:rPr>
        <w:t>，长度大于等于</w:t>
      </w:r>
      <w:r>
        <w:rPr>
          <w:rFonts w:ascii="宋体" w:hAnsi="宋体"/>
          <w:color w:val="auto"/>
          <w:highlight w:val="none"/>
        </w:rPr>
        <w:t>356mm</w:t>
      </w:r>
      <w:r>
        <w:rPr>
          <w:rFonts w:hint="eastAsia" w:ascii="宋体" w:hAnsi="宋体"/>
          <w:color w:val="auto"/>
          <w:highlight w:val="none"/>
        </w:rPr>
        <w:t>的零件和宽度大于</w:t>
      </w:r>
      <w:r>
        <w:rPr>
          <w:rFonts w:ascii="宋体" w:hAnsi="宋体"/>
          <w:color w:val="auto"/>
          <w:highlight w:val="none"/>
        </w:rPr>
        <w:t>60mm</w:t>
      </w:r>
      <w:r>
        <w:rPr>
          <w:rFonts w:hint="eastAsia" w:ascii="宋体" w:hAnsi="宋体"/>
          <w:color w:val="auto"/>
          <w:highlight w:val="none"/>
        </w:rPr>
        <w:t>，长度大于等于</w:t>
      </w:r>
      <w:r>
        <w:rPr>
          <w:rFonts w:ascii="宋体" w:hAnsi="宋体"/>
          <w:color w:val="auto"/>
          <w:highlight w:val="none"/>
        </w:rPr>
        <w:t>138mm</w:t>
      </w:r>
      <w:r>
        <w:rPr>
          <w:rFonts w:hint="eastAsia" w:ascii="宋体" w:hAnsi="宋体"/>
          <w:color w:val="auto"/>
          <w:highlight w:val="none"/>
        </w:rPr>
        <w:t>的零件，抽取10件，其中5件作为检验样品，5件作为备用样品。</w:t>
      </w:r>
    </w:p>
    <w:p>
      <w:pPr>
        <w:spacing w:line="440" w:lineRule="exact"/>
        <w:ind w:firstLine="420" w:firstLineChars="200"/>
        <w:rPr>
          <w:rFonts w:ascii="宋体" w:hAnsi="宋体"/>
          <w:color w:val="auto"/>
          <w:highlight w:val="none"/>
        </w:rPr>
      </w:pPr>
      <w:r>
        <w:rPr>
          <w:rFonts w:ascii="宋体" w:hAnsi="宋体"/>
          <w:color w:val="auto"/>
          <w:szCs w:val="21"/>
          <w:highlight w:val="none"/>
        </w:rPr>
        <w:t xml:space="preserve">注： </w:t>
      </w:r>
      <w:r>
        <w:rPr>
          <w:rFonts w:hint="eastAsia" w:ascii="宋体" w:hAnsi="宋体"/>
          <w:color w:val="auto"/>
          <w:highlight w:val="none"/>
        </w:rPr>
        <w:t>宽度小于</w:t>
      </w:r>
      <w:r>
        <w:rPr>
          <w:rFonts w:ascii="宋体" w:hAnsi="宋体"/>
          <w:color w:val="auto"/>
          <w:highlight w:val="none"/>
        </w:rPr>
        <w:t>3m</w:t>
      </w:r>
      <w:r>
        <w:rPr>
          <w:rFonts w:hint="eastAsia" w:ascii="宋体" w:hAnsi="宋体"/>
          <w:color w:val="auto"/>
          <w:highlight w:val="none"/>
        </w:rPr>
        <w:t>m的零件，宽度介于</w:t>
      </w:r>
      <w:r>
        <w:rPr>
          <w:rFonts w:ascii="宋体" w:hAnsi="宋体"/>
          <w:color w:val="auto"/>
          <w:highlight w:val="none"/>
        </w:rPr>
        <w:t>3mm-60mm</w:t>
      </w:r>
      <w:r>
        <w:rPr>
          <w:rFonts w:hint="eastAsia" w:ascii="宋体" w:hAnsi="宋体"/>
          <w:color w:val="auto"/>
          <w:highlight w:val="none"/>
        </w:rPr>
        <w:t>、且长度小于</w:t>
      </w:r>
      <w:r>
        <w:rPr>
          <w:rFonts w:ascii="宋体" w:hAnsi="宋体"/>
          <w:color w:val="auto"/>
          <w:highlight w:val="none"/>
        </w:rPr>
        <w:t>356mm</w:t>
      </w:r>
      <w:r>
        <w:rPr>
          <w:rFonts w:hint="eastAsia" w:ascii="宋体" w:hAnsi="宋体"/>
          <w:color w:val="auto"/>
          <w:highlight w:val="none"/>
        </w:rPr>
        <w:t>的零件，宽度大于</w:t>
      </w:r>
      <w:r>
        <w:rPr>
          <w:rFonts w:ascii="宋体" w:hAnsi="宋体"/>
          <w:color w:val="auto"/>
          <w:highlight w:val="none"/>
        </w:rPr>
        <w:t>60mm</w:t>
      </w:r>
      <w:r>
        <w:rPr>
          <w:rFonts w:hint="eastAsia" w:ascii="宋体" w:hAnsi="宋体"/>
          <w:color w:val="auto"/>
          <w:highlight w:val="none"/>
        </w:rPr>
        <w:t>、长度小于</w:t>
      </w:r>
      <w:r>
        <w:rPr>
          <w:rFonts w:ascii="宋体" w:hAnsi="宋体"/>
          <w:color w:val="auto"/>
          <w:highlight w:val="none"/>
        </w:rPr>
        <w:t>138mm</w:t>
      </w:r>
      <w:r>
        <w:rPr>
          <w:rFonts w:hint="eastAsia" w:ascii="宋体" w:hAnsi="宋体"/>
          <w:color w:val="auto"/>
          <w:highlight w:val="none"/>
        </w:rPr>
        <w:t>的零件，不抽取样品。</w:t>
      </w:r>
    </w:p>
    <w:p>
      <w:pPr>
        <w:snapToGrid w:val="0"/>
        <w:spacing w:line="440" w:lineRule="exact"/>
        <w:rPr>
          <w:rFonts w:ascii="宋体" w:hAnsi="宋体"/>
          <w:color w:val="auto"/>
          <w:szCs w:val="21"/>
          <w:highlight w:val="none"/>
        </w:rPr>
      </w:pPr>
      <w:r>
        <w:rPr>
          <w:rFonts w:hint="eastAsia" w:ascii="宋体" w:hAnsi="宋体"/>
          <w:color w:val="auto"/>
          <w:szCs w:val="21"/>
          <w:highlight w:val="none"/>
        </w:rPr>
        <w:t>5.2</w:t>
      </w:r>
      <w:r>
        <w:rPr>
          <w:rFonts w:ascii="宋体" w:hAnsi="宋体"/>
          <w:color w:val="auto"/>
          <w:szCs w:val="21"/>
          <w:highlight w:val="none"/>
        </w:rPr>
        <w:t>.</w:t>
      </w:r>
      <w:r>
        <w:rPr>
          <w:rFonts w:hint="eastAsia" w:ascii="宋体" w:hAnsi="宋体"/>
          <w:color w:val="auto"/>
          <w:szCs w:val="21"/>
          <w:highlight w:val="none"/>
        </w:rPr>
        <w:t>4注意事项</w:t>
      </w:r>
    </w:p>
    <w:p>
      <w:pPr>
        <w:autoSpaceDE w:val="0"/>
        <w:autoSpaceDN w:val="0"/>
        <w:adjustRightInd w:val="0"/>
        <w:spacing w:line="360" w:lineRule="auto"/>
        <w:ind w:firstLine="420" w:firstLineChars="200"/>
        <w:jc w:val="left"/>
        <w:rPr>
          <w:color w:val="auto"/>
          <w:highlight w:val="none"/>
        </w:rPr>
      </w:pPr>
      <w:r>
        <w:rPr>
          <w:color w:val="auto"/>
          <w:highlight w:val="none"/>
        </w:rPr>
        <w:t>抽样人员应先在抽取的所有样品上分别签名（要确保签名部位对样品检测结果不产生影响，样品上不便签字的，在样品外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snapToGrid w:val="0"/>
        <w:spacing w:line="440" w:lineRule="exact"/>
        <w:rPr>
          <w:rFonts w:ascii="宋体" w:hAnsi="宋体"/>
          <w:color w:val="auto"/>
          <w:szCs w:val="21"/>
          <w:highlight w:val="none"/>
        </w:rPr>
      </w:pPr>
      <w:r>
        <w:rPr>
          <w:rFonts w:hint="eastAsia" w:ascii="宋体" w:hAnsi="宋体"/>
          <w:color w:val="auto"/>
          <w:szCs w:val="21"/>
          <w:highlight w:val="none"/>
        </w:rPr>
        <w:t>5.3 样品处置</w:t>
      </w:r>
    </w:p>
    <w:p>
      <w:pPr>
        <w:snapToGrid w:val="0"/>
        <w:spacing w:line="440" w:lineRule="exact"/>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 xml:space="preserve">.3.1 </w:t>
      </w:r>
      <w:r>
        <w:rPr>
          <w:rFonts w:hint="eastAsia" w:ascii="宋体" w:hAnsi="宋体"/>
          <w:color w:val="auto"/>
          <w:szCs w:val="21"/>
          <w:highlight w:val="none"/>
        </w:rPr>
        <w:t>对抽取的样品，应在封条上分别注明“检验样品”与“备用样品”，并由抽样人员和受检单位代表签字确认，当场对样品进行</w:t>
      </w:r>
      <w:r>
        <w:rPr>
          <w:rFonts w:ascii="宋体" w:hAnsi="宋体"/>
          <w:color w:val="auto"/>
          <w:szCs w:val="21"/>
          <w:highlight w:val="none"/>
        </w:rPr>
        <w:t>封样</w:t>
      </w:r>
      <w:r>
        <w:rPr>
          <w:rFonts w:hint="eastAsia" w:ascii="宋体" w:hAnsi="宋体"/>
          <w:color w:val="auto"/>
          <w:szCs w:val="21"/>
          <w:highlight w:val="none"/>
        </w:rPr>
        <w:t>，并采取必要的防拆封措施及防封条损坏措施</w:t>
      </w:r>
      <w:r>
        <w:rPr>
          <w:rFonts w:hint="eastAsia" w:ascii="宋体" w:hAnsi="宋体"/>
          <w:color w:val="auto"/>
          <w:highlight w:val="none"/>
        </w:rPr>
        <w:t>。</w:t>
      </w:r>
      <w:r>
        <w:rPr>
          <w:rFonts w:hint="eastAsia" w:ascii="宋体" w:hAnsi="宋体"/>
          <w:color w:val="auto"/>
          <w:szCs w:val="21"/>
          <w:highlight w:val="none"/>
        </w:rPr>
        <w:t>封条上至少要有产品名称、抽样日期、抽样人签字、受检单位代表签字和盖章以及抽样单位公章等相关信息。</w:t>
      </w:r>
    </w:p>
    <w:p>
      <w:pPr>
        <w:snapToGrid w:val="0"/>
        <w:spacing w:line="440" w:lineRule="exact"/>
        <w:rPr>
          <w:rFonts w:ascii="宋体" w:hAnsi="宋体"/>
          <w:color w:val="auto"/>
          <w:szCs w:val="21"/>
          <w:highlight w:val="none"/>
        </w:rPr>
      </w:pPr>
      <w:r>
        <w:rPr>
          <w:rFonts w:hint="eastAsia" w:ascii="宋体" w:hAnsi="宋体"/>
          <w:color w:val="auto"/>
          <w:szCs w:val="21"/>
          <w:highlight w:val="none"/>
        </w:rPr>
        <w:t>5.3.2抽取的样品按运输条件包装好，同时应</w:t>
      </w:r>
      <w:r>
        <w:rPr>
          <w:rFonts w:hint="eastAsia" w:ascii="宋体" w:hAnsi="宋体" w:cs="Sim Sun"/>
          <w:color w:val="auto"/>
          <w:kern w:val="0"/>
          <w:szCs w:val="21"/>
          <w:highlight w:val="none"/>
        </w:rPr>
        <w:t>保证封条在运输过程中不会破损</w:t>
      </w:r>
      <w:r>
        <w:rPr>
          <w:rFonts w:hint="eastAsia" w:ascii="宋体" w:hAnsi="宋体"/>
          <w:color w:val="auto"/>
          <w:szCs w:val="21"/>
          <w:highlight w:val="none"/>
        </w:rPr>
        <w:t>。</w:t>
      </w:r>
      <w:r>
        <w:rPr>
          <w:rFonts w:hint="eastAsia" w:ascii="宋体" w:hAnsi="宋体"/>
          <w:color w:val="auto"/>
          <w:szCs w:val="28"/>
          <w:highlight w:val="none"/>
        </w:rPr>
        <w:t>运输时严防雨淋、日晒、受潮。装卸时轻搬轻放，严禁掷抛。贮存时注意防晒、防雨淋、防潮。</w:t>
      </w:r>
      <w:r>
        <w:rPr>
          <w:rFonts w:hint="eastAsia" w:ascii="宋体" w:hAnsi="宋体"/>
          <w:color w:val="auto"/>
          <w:szCs w:val="21"/>
          <w:highlight w:val="none"/>
        </w:rPr>
        <w:t>抽取的检验样品由抽样人员自行携带至检验机构，备用样品封存于被抽检单位。</w:t>
      </w:r>
    </w:p>
    <w:p>
      <w:pPr>
        <w:spacing w:line="440" w:lineRule="exact"/>
        <w:rPr>
          <w:rFonts w:ascii="宋体" w:hAnsi="宋体"/>
          <w:color w:val="auto"/>
          <w:highlight w:val="none"/>
        </w:rPr>
      </w:pPr>
      <w:r>
        <w:rPr>
          <w:rFonts w:hint="eastAsia" w:ascii="宋体" w:hAnsi="宋体"/>
          <w:color w:val="auto"/>
          <w:szCs w:val="21"/>
          <w:highlight w:val="none"/>
        </w:rPr>
        <w:t>5.3.3 备用样品及检验结束后的样品应该贮存在阴凉、干燥、避免阳光直射的安全处。应保证备用样品在整个保存期间签封完整无损。</w:t>
      </w:r>
      <w:r>
        <w:rPr>
          <w:rFonts w:hint="eastAsia" w:ascii="宋体" w:hAnsi="宋体" w:cs="宋体"/>
          <w:color w:val="auto"/>
          <w:szCs w:val="21"/>
          <w:highlight w:val="none"/>
        </w:rPr>
        <w:t>如产品包装或说明书等材料上标明特殊储存或搬运要求，样品应按要求进行处理</w:t>
      </w:r>
    </w:p>
    <w:p>
      <w:pPr>
        <w:snapToGrid w:val="0"/>
        <w:spacing w:line="440" w:lineRule="exact"/>
        <w:rPr>
          <w:rFonts w:hint="eastAsia" w:ascii="黑体" w:hAnsi="黑体" w:eastAsia="黑体"/>
          <w:color w:val="auto"/>
          <w:szCs w:val="21"/>
          <w:highlight w:val="none"/>
        </w:rPr>
      </w:pPr>
      <w:r>
        <w:rPr>
          <w:rFonts w:hint="eastAsia" w:ascii="黑体" w:hAnsi="黑体" w:eastAsia="黑体"/>
          <w:color w:val="auto"/>
          <w:szCs w:val="21"/>
          <w:highlight w:val="none"/>
        </w:rPr>
        <w:t>5.4 抽样单</w:t>
      </w:r>
    </w:p>
    <w:p>
      <w:pPr>
        <w:snapToGrid w:val="0"/>
        <w:spacing w:line="440" w:lineRule="exact"/>
        <w:rPr>
          <w:rFonts w:ascii="宋体" w:hAnsi="宋体"/>
          <w:color w:val="auto"/>
          <w:szCs w:val="21"/>
          <w:highlight w:val="none"/>
        </w:rPr>
      </w:pPr>
      <w:r>
        <w:rPr>
          <w:rFonts w:hint="eastAsia" w:ascii="宋体" w:hAnsi="宋体"/>
          <w:color w:val="auto"/>
          <w:szCs w:val="21"/>
          <w:highlight w:val="none"/>
        </w:rPr>
        <w:t>5.4.1生产领域</w:t>
      </w:r>
    </w:p>
    <w:p>
      <w:pPr>
        <w:snapToGrid w:val="0"/>
        <w:spacing w:line="440" w:lineRule="exact"/>
        <w:ind w:firstLine="417" w:firstLineChars="199"/>
        <w:rPr>
          <w:rFonts w:ascii="宋体" w:hAnsi="宋体"/>
          <w:color w:val="auto"/>
          <w:szCs w:val="21"/>
          <w:highlight w:val="none"/>
        </w:rPr>
      </w:pPr>
      <w:r>
        <w:rPr>
          <w:rFonts w:hint="eastAsia" w:ascii="宋体" w:hAnsi="宋体"/>
          <w:color w:val="auto"/>
          <w:szCs w:val="21"/>
          <w:highlight w:val="none"/>
        </w:rPr>
        <w:t>应按有关规定填写抽样单，并记录被抽查产品及企业相关信息。同时记录受检单位上一年度生产的相关产品销售量及销售总额（以万元计）；若企业上一年度未生产或销售，则记录本年度实际销售量及销售总额，并加以注明。对于产品检验所需的样品技术参数等信息，需要被抽企业提供的，应在抽样现场获取，并经企业确认。抽样单需有抽样人及受检单位代表双方签字，并注明抽样日期、抽样单编号或封条封签号，同时加盖受检单位公章。对特殊情况，双方签字盖手印确认即可。</w:t>
      </w:r>
    </w:p>
    <w:p>
      <w:pPr>
        <w:snapToGrid w:val="0"/>
        <w:spacing w:line="440" w:lineRule="exact"/>
        <w:rPr>
          <w:rFonts w:ascii="宋体" w:hAnsi="宋体"/>
          <w:color w:val="auto"/>
          <w:szCs w:val="21"/>
          <w:highlight w:val="none"/>
        </w:rPr>
      </w:pPr>
      <w:r>
        <w:rPr>
          <w:rFonts w:hint="eastAsia" w:ascii="宋体" w:hAnsi="宋体"/>
          <w:color w:val="auto"/>
          <w:szCs w:val="21"/>
          <w:highlight w:val="none"/>
        </w:rPr>
        <w:t>5.4.2 流通领域</w:t>
      </w:r>
    </w:p>
    <w:p>
      <w:pPr>
        <w:snapToGrid w:val="0"/>
        <w:spacing w:line="440" w:lineRule="exact"/>
        <w:ind w:firstLine="417" w:firstLineChars="199"/>
        <w:rPr>
          <w:color w:val="auto"/>
          <w:highlight w:val="none"/>
        </w:rPr>
      </w:pPr>
      <w:r>
        <w:rPr>
          <w:rFonts w:hint="eastAsia" w:ascii="宋体" w:hAnsi="宋体"/>
          <w:color w:val="auto"/>
          <w:szCs w:val="21"/>
          <w:highlight w:val="none"/>
        </w:rPr>
        <w:t>市场抽样：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抽样单需有抽样人及企业人员双方签字，并注明抽样日期、抽样单编号或封条封签号，同时加盖受检单位公章。对特殊情况，双方签字盖手印确认即可。</w:t>
      </w:r>
    </w:p>
    <w:p>
      <w:pPr>
        <w:snapToGrid w:val="0"/>
        <w:spacing w:line="440" w:lineRule="exact"/>
        <w:rPr>
          <w:rFonts w:ascii="黑体" w:hAnsi="黑体" w:eastAsia="黑体"/>
          <w:color w:val="auto"/>
          <w:szCs w:val="21"/>
          <w:highlight w:val="none"/>
        </w:rPr>
      </w:pPr>
      <w:r>
        <w:rPr>
          <w:rFonts w:hint="eastAsia" w:ascii="黑体" w:hAnsi="黑体" w:eastAsia="黑体"/>
          <w:color w:val="auto"/>
          <w:szCs w:val="21"/>
          <w:highlight w:val="none"/>
        </w:rPr>
        <w:t>6  检验要求</w:t>
      </w:r>
    </w:p>
    <w:p>
      <w:pPr>
        <w:snapToGrid w:val="0"/>
        <w:spacing w:line="440" w:lineRule="exact"/>
        <w:rPr>
          <w:rFonts w:ascii="宋体" w:hAnsi="宋体"/>
          <w:color w:val="auto"/>
          <w:szCs w:val="21"/>
          <w:highlight w:val="none"/>
        </w:rPr>
      </w:pPr>
      <w:r>
        <w:rPr>
          <w:rFonts w:hint="eastAsia" w:ascii="宋体" w:hAnsi="宋体"/>
          <w:color w:val="auto"/>
          <w:szCs w:val="21"/>
          <w:highlight w:val="none"/>
        </w:rPr>
        <w:t>6.1 检验项目见表1。</w:t>
      </w:r>
    </w:p>
    <w:p>
      <w:pPr>
        <w:snapToGrid w:val="0"/>
        <w:spacing w:line="440" w:lineRule="exact"/>
        <w:ind w:firstLine="420"/>
        <w:jc w:val="center"/>
        <w:rPr>
          <w:rFonts w:hint="eastAsia" w:ascii="宋体" w:hAnsi="宋体" w:eastAsia="宋体"/>
          <w:color w:val="auto"/>
          <w:szCs w:val="21"/>
          <w:highlight w:val="none"/>
          <w:lang w:eastAsia="zh-CN"/>
        </w:rPr>
      </w:pPr>
      <w:r>
        <w:rPr>
          <w:rFonts w:hint="eastAsia" w:ascii="宋体" w:hAnsi="宋体"/>
          <w:color w:val="auto"/>
          <w:szCs w:val="21"/>
          <w:highlight w:val="none"/>
        </w:rPr>
        <w:t>表1  检验项目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014"/>
        <w:gridCol w:w="1813"/>
        <w:gridCol w:w="4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0" w:hRule="atLeast"/>
          <w:jc w:val="center"/>
        </w:trPr>
        <w:tc>
          <w:tcPr>
            <w:tcW w:w="426" w:type="dxa"/>
            <w:tcBorders>
              <w:top w:val="single" w:color="auto" w:sz="4" w:space="0"/>
              <w:left w:val="single" w:color="auto" w:sz="4" w:space="0"/>
              <w:right w:val="single" w:color="auto" w:sz="4" w:space="0"/>
            </w:tcBorders>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2014" w:type="dxa"/>
            <w:tcBorders>
              <w:left w:val="single" w:color="auto" w:sz="4" w:space="0"/>
            </w:tcBorders>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检验项目</w:t>
            </w:r>
          </w:p>
        </w:tc>
        <w:tc>
          <w:tcPr>
            <w:tcW w:w="1813" w:type="dxa"/>
            <w:vAlign w:val="center"/>
          </w:tcPr>
          <w:p>
            <w:pPr>
              <w:spacing w:line="320" w:lineRule="exact"/>
              <w:jc w:val="center"/>
              <w:rPr>
                <w:rFonts w:hint="eastAsia" w:ascii="宋体" w:hAnsi="宋体" w:eastAsia="宋体"/>
                <w:color w:val="auto"/>
                <w:sz w:val="18"/>
                <w:szCs w:val="18"/>
                <w:highlight w:val="none"/>
                <w:lang w:eastAsia="zh-CN"/>
              </w:rPr>
            </w:pPr>
            <w:r>
              <w:rPr>
                <w:rFonts w:hint="eastAsia" w:ascii="宋体" w:hAnsi="宋体"/>
                <w:color w:val="auto"/>
                <w:sz w:val="18"/>
                <w:szCs w:val="18"/>
                <w:highlight w:val="none"/>
                <w:lang w:eastAsia="zh-CN"/>
              </w:rPr>
              <w:t>检验依据</w:t>
            </w:r>
          </w:p>
        </w:tc>
        <w:tc>
          <w:tcPr>
            <w:tcW w:w="4591" w:type="dxa"/>
            <w:vAlign w:val="center"/>
          </w:tcPr>
          <w:p>
            <w:pPr>
              <w:jc w:val="center"/>
              <w:rPr>
                <w:rFonts w:ascii="宋体"/>
                <w:color w:val="auto"/>
                <w:szCs w:val="21"/>
                <w:highlight w:val="none"/>
              </w:rPr>
            </w:pPr>
            <w:r>
              <w:rPr>
                <w:rFonts w:hint="eastAsia" w:ascii="宋体" w:hAnsi="宋体"/>
                <w:color w:val="auto"/>
                <w:sz w:val="18"/>
                <w:szCs w:val="18"/>
                <w:highlight w:val="none"/>
                <w:lang w:eastAsia="zh-CN"/>
              </w:rPr>
              <w:t>检验</w:t>
            </w:r>
            <w:r>
              <w:rPr>
                <w:rFonts w:hint="eastAsia" w:ascii="宋体" w:hAnsi="宋体"/>
                <w:color w:val="auto"/>
                <w:sz w:val="18"/>
                <w:szCs w:val="18"/>
                <w:highlight w:val="none"/>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spacing w:line="320" w:lineRule="exact"/>
              <w:jc w:val="center"/>
              <w:rPr>
                <w:rFonts w:ascii="宋体" w:hAnsi="宋体"/>
                <w:color w:val="auto"/>
                <w:sz w:val="18"/>
                <w:szCs w:val="18"/>
                <w:highlight w:val="none"/>
              </w:rPr>
            </w:pPr>
            <w:r>
              <w:rPr>
                <w:rFonts w:hint="eastAsia" w:ascii="宋体" w:hAnsi="宋体"/>
                <w:color w:val="auto"/>
                <w:sz w:val="18"/>
                <w:szCs w:val="18"/>
                <w:highlight w:val="none"/>
              </w:rPr>
              <w:t>1</w:t>
            </w:r>
          </w:p>
        </w:tc>
        <w:tc>
          <w:tcPr>
            <w:tcW w:w="2014" w:type="dxa"/>
            <w:vAlign w:val="center"/>
          </w:tcPr>
          <w:p>
            <w:pPr>
              <w:spacing w:line="320" w:lineRule="exact"/>
              <w:jc w:val="center"/>
              <w:rPr>
                <w:rFonts w:ascii="宋体" w:hAnsi="宋体"/>
                <w:color w:val="auto"/>
                <w:sz w:val="18"/>
                <w:szCs w:val="18"/>
                <w:highlight w:val="none"/>
              </w:rPr>
            </w:pPr>
            <w:r>
              <w:rPr>
                <w:rFonts w:ascii="宋体" w:hAnsi="宋体"/>
                <w:color w:val="auto"/>
                <w:szCs w:val="21"/>
                <w:highlight w:val="none"/>
              </w:rPr>
              <w:t>燃烧特性</w:t>
            </w:r>
          </w:p>
        </w:tc>
        <w:tc>
          <w:tcPr>
            <w:tcW w:w="1813" w:type="dxa"/>
            <w:vAlign w:val="center"/>
          </w:tcPr>
          <w:p>
            <w:pPr>
              <w:spacing w:line="320" w:lineRule="exact"/>
              <w:jc w:val="center"/>
              <w:rPr>
                <w:rFonts w:ascii="宋体" w:hAnsi="宋体"/>
                <w:color w:val="auto"/>
                <w:sz w:val="18"/>
                <w:szCs w:val="18"/>
                <w:highlight w:val="none"/>
              </w:rPr>
            </w:pPr>
            <w:r>
              <w:rPr>
                <w:rFonts w:ascii="宋体" w:hAnsi="宋体"/>
                <w:color w:val="auto"/>
                <w:szCs w:val="21"/>
                <w:highlight w:val="none"/>
              </w:rPr>
              <w:t>GB 8410-2006</w:t>
            </w:r>
          </w:p>
        </w:tc>
        <w:tc>
          <w:tcPr>
            <w:tcW w:w="4591" w:type="dxa"/>
            <w:vAlign w:val="center"/>
          </w:tcPr>
          <w:p>
            <w:pPr>
              <w:spacing w:line="320" w:lineRule="exact"/>
              <w:jc w:val="center"/>
              <w:rPr>
                <w:rFonts w:ascii="宋体" w:hAnsi="宋体"/>
                <w:color w:val="auto"/>
                <w:sz w:val="18"/>
                <w:szCs w:val="18"/>
                <w:highlight w:val="none"/>
              </w:rPr>
            </w:pPr>
            <w:r>
              <w:rPr>
                <w:rFonts w:ascii="宋体" w:hAnsi="宋体"/>
                <w:color w:val="auto"/>
                <w:szCs w:val="21"/>
                <w:highlight w:val="none"/>
              </w:rPr>
              <w:t>GB 8410-2006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color w:val="auto"/>
                <w:sz w:val="21"/>
                <w:szCs w:val="21"/>
                <w:highlight w:val="none"/>
              </w:rPr>
            </w:pPr>
            <w:r>
              <w:rPr>
                <w:rFonts w:hint="eastAsia" w:ascii="宋体" w:hAnsi="宋体"/>
                <w:color w:val="auto"/>
                <w:sz w:val="21"/>
                <w:szCs w:val="21"/>
                <w:highlight w:val="none"/>
              </w:rPr>
              <w:t>2</w:t>
            </w:r>
          </w:p>
        </w:tc>
        <w:tc>
          <w:tcPr>
            <w:tcW w:w="2014" w:type="dxa"/>
            <w:vAlign w:val="center"/>
          </w:tcPr>
          <w:p>
            <w:pPr>
              <w:spacing w:line="32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rPr>
              <w:t>铬</w:t>
            </w:r>
            <w:r>
              <w:rPr>
                <w:rFonts w:hint="eastAsia" w:ascii="宋体" w:hAnsi="宋体"/>
                <w:color w:val="auto"/>
                <w:szCs w:val="21"/>
                <w:highlight w:val="none"/>
                <w:lang w:eastAsia="zh-CN"/>
              </w:rPr>
              <w:t>含量</w:t>
            </w:r>
          </w:p>
        </w:tc>
        <w:tc>
          <w:tcPr>
            <w:tcW w:w="1813" w:type="dxa"/>
            <w:vAlign w:val="center"/>
          </w:tcPr>
          <w:p>
            <w:pPr>
              <w:jc w:val="center"/>
              <w:rPr>
                <w:rFonts w:ascii="宋体" w:hAnsi="宋体"/>
                <w:color w:val="auto"/>
                <w:szCs w:val="21"/>
                <w:highlight w:val="none"/>
              </w:rPr>
            </w:pPr>
            <w:r>
              <w:rPr>
                <w:rFonts w:hint="eastAsia" w:ascii="宋体" w:hAnsi="宋体"/>
                <w:color w:val="auto"/>
                <w:szCs w:val="21"/>
                <w:highlight w:val="none"/>
              </w:rPr>
              <w:t>GB/T 30512-2014</w:t>
            </w:r>
          </w:p>
        </w:tc>
        <w:tc>
          <w:tcPr>
            <w:tcW w:w="4591" w:type="dxa"/>
            <w:vAlign w:val="center"/>
          </w:tcPr>
          <w:p>
            <w:pPr>
              <w:jc w:val="center"/>
              <w:rPr>
                <w:rFonts w:ascii="宋体" w:hAnsi="宋体"/>
                <w:color w:val="auto"/>
                <w:szCs w:val="21"/>
                <w:highlight w:val="none"/>
              </w:rPr>
            </w:pPr>
            <w:r>
              <w:rPr>
                <w:rFonts w:hint="eastAsia" w:ascii="宋体" w:hAnsi="宋体"/>
                <w:color w:val="auto"/>
                <w:szCs w:val="21"/>
                <w:highlight w:val="none"/>
              </w:rPr>
              <w:t>QC/T 942-20</w:t>
            </w:r>
            <w:r>
              <w:rPr>
                <w:rFonts w:hint="eastAsia" w:ascii="宋体" w:hAnsi="宋体"/>
                <w:color w:val="auto"/>
                <w:szCs w:val="21"/>
                <w:highlight w:val="none"/>
                <w:lang w:val="en-US" w:eastAsia="zh-CN"/>
              </w:rPr>
              <w:t>13</w:t>
            </w:r>
            <w:r>
              <w:rPr>
                <w:rFonts w:hint="eastAsia" w:ascii="宋体" w:hAnsi="宋体"/>
                <w:color w:val="auto"/>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color w:val="auto"/>
                <w:sz w:val="21"/>
                <w:szCs w:val="21"/>
                <w:highlight w:val="none"/>
              </w:rPr>
            </w:pPr>
            <w:r>
              <w:rPr>
                <w:rFonts w:hint="eastAsia" w:ascii="宋体" w:hAnsi="宋体"/>
                <w:color w:val="auto"/>
                <w:sz w:val="21"/>
                <w:szCs w:val="21"/>
                <w:highlight w:val="none"/>
              </w:rPr>
              <w:t>3</w:t>
            </w:r>
          </w:p>
        </w:tc>
        <w:tc>
          <w:tcPr>
            <w:tcW w:w="2014" w:type="dxa"/>
            <w:vAlign w:val="center"/>
          </w:tcPr>
          <w:p>
            <w:pPr>
              <w:spacing w:line="320" w:lineRule="exact"/>
              <w:jc w:val="center"/>
              <w:rPr>
                <w:rFonts w:ascii="宋体" w:hAnsi="宋体"/>
                <w:color w:val="auto"/>
                <w:szCs w:val="21"/>
                <w:highlight w:val="none"/>
              </w:rPr>
            </w:pPr>
            <w:r>
              <w:rPr>
                <w:rFonts w:hint="eastAsia" w:ascii="宋体" w:hAnsi="宋体"/>
                <w:color w:val="auto"/>
                <w:szCs w:val="21"/>
                <w:highlight w:val="none"/>
              </w:rPr>
              <w:t>溴元素</w:t>
            </w:r>
          </w:p>
        </w:tc>
        <w:tc>
          <w:tcPr>
            <w:tcW w:w="1813" w:type="dxa"/>
            <w:vAlign w:val="center"/>
          </w:tcPr>
          <w:p>
            <w:pPr>
              <w:jc w:val="center"/>
              <w:rPr>
                <w:rFonts w:ascii="宋体" w:hAnsi="宋体"/>
                <w:color w:val="auto"/>
                <w:szCs w:val="21"/>
                <w:highlight w:val="none"/>
              </w:rPr>
            </w:pPr>
            <w:r>
              <w:rPr>
                <w:rFonts w:hint="eastAsia" w:ascii="宋体" w:hAnsi="宋体"/>
                <w:color w:val="auto"/>
                <w:szCs w:val="21"/>
                <w:highlight w:val="none"/>
              </w:rPr>
              <w:t>GB/T 30512-2014</w:t>
            </w:r>
          </w:p>
        </w:tc>
        <w:tc>
          <w:tcPr>
            <w:tcW w:w="4591" w:type="dxa"/>
            <w:vAlign w:val="center"/>
          </w:tcPr>
          <w:p>
            <w:pPr>
              <w:jc w:val="center"/>
              <w:rPr>
                <w:rFonts w:ascii="宋体" w:hAnsi="宋体"/>
                <w:color w:val="auto"/>
                <w:szCs w:val="21"/>
                <w:highlight w:val="none"/>
              </w:rPr>
            </w:pPr>
            <w:r>
              <w:rPr>
                <w:rFonts w:hint="eastAsia" w:ascii="宋体" w:hAnsi="宋体"/>
                <w:color w:val="auto"/>
                <w:szCs w:val="21"/>
                <w:highlight w:val="none"/>
              </w:rPr>
              <w:t xml:space="preserve">QC/T 944-2013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color w:val="auto"/>
                <w:sz w:val="21"/>
                <w:szCs w:val="21"/>
                <w:highlight w:val="none"/>
              </w:rPr>
            </w:pPr>
            <w:r>
              <w:rPr>
                <w:rFonts w:hint="eastAsia" w:ascii="宋体" w:hAnsi="宋体"/>
                <w:color w:val="auto"/>
                <w:sz w:val="21"/>
                <w:szCs w:val="21"/>
                <w:highlight w:val="none"/>
              </w:rPr>
              <w:t>4</w:t>
            </w:r>
          </w:p>
        </w:tc>
        <w:tc>
          <w:tcPr>
            <w:tcW w:w="2014" w:type="dxa"/>
            <w:vAlign w:val="center"/>
          </w:tcPr>
          <w:p>
            <w:pPr>
              <w:spacing w:line="320" w:lineRule="exact"/>
              <w:jc w:val="center"/>
              <w:rPr>
                <w:rFonts w:ascii="宋体" w:hAnsi="宋体"/>
                <w:color w:val="auto"/>
                <w:szCs w:val="21"/>
                <w:highlight w:val="none"/>
              </w:rPr>
            </w:pPr>
            <w:r>
              <w:rPr>
                <w:rFonts w:hint="eastAsia" w:ascii="宋体" w:hAnsi="宋体"/>
                <w:color w:val="auto"/>
                <w:szCs w:val="21"/>
                <w:highlight w:val="none"/>
              </w:rPr>
              <w:t>镉元素</w:t>
            </w:r>
          </w:p>
        </w:tc>
        <w:tc>
          <w:tcPr>
            <w:tcW w:w="1813" w:type="dxa"/>
            <w:vAlign w:val="center"/>
          </w:tcPr>
          <w:p>
            <w:pPr>
              <w:jc w:val="center"/>
              <w:rPr>
                <w:rFonts w:ascii="宋体" w:hAnsi="宋体"/>
                <w:color w:val="auto"/>
                <w:szCs w:val="21"/>
                <w:highlight w:val="none"/>
              </w:rPr>
            </w:pPr>
            <w:r>
              <w:rPr>
                <w:rFonts w:hint="eastAsia" w:ascii="宋体" w:hAnsi="宋体"/>
                <w:color w:val="auto"/>
                <w:szCs w:val="21"/>
                <w:highlight w:val="none"/>
              </w:rPr>
              <w:t>GB/T 30512-2014</w:t>
            </w:r>
          </w:p>
        </w:tc>
        <w:tc>
          <w:tcPr>
            <w:tcW w:w="4591" w:type="dxa"/>
            <w:vAlign w:val="center"/>
          </w:tcPr>
          <w:p>
            <w:pPr>
              <w:jc w:val="center"/>
              <w:rPr>
                <w:rFonts w:ascii="宋体" w:hAnsi="宋体"/>
                <w:color w:val="auto"/>
                <w:szCs w:val="21"/>
                <w:highlight w:val="none"/>
              </w:rPr>
            </w:pPr>
            <w:r>
              <w:rPr>
                <w:rFonts w:hint="eastAsia" w:ascii="宋体" w:hAnsi="宋体"/>
                <w:color w:val="auto"/>
                <w:szCs w:val="21"/>
                <w:highlight w:val="none"/>
              </w:rPr>
              <w:t xml:space="preserve">QC/T 943-2013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color w:val="auto"/>
                <w:sz w:val="21"/>
                <w:szCs w:val="21"/>
                <w:highlight w:val="none"/>
              </w:rPr>
            </w:pPr>
            <w:r>
              <w:rPr>
                <w:rFonts w:hint="eastAsia" w:ascii="宋体" w:hAnsi="宋体"/>
                <w:color w:val="auto"/>
                <w:sz w:val="21"/>
                <w:szCs w:val="21"/>
                <w:highlight w:val="none"/>
              </w:rPr>
              <w:t>5</w:t>
            </w:r>
          </w:p>
        </w:tc>
        <w:tc>
          <w:tcPr>
            <w:tcW w:w="2014" w:type="dxa"/>
            <w:vAlign w:val="center"/>
          </w:tcPr>
          <w:p>
            <w:pPr>
              <w:spacing w:line="320" w:lineRule="exact"/>
              <w:jc w:val="center"/>
              <w:rPr>
                <w:rFonts w:ascii="宋体" w:hAnsi="宋体"/>
                <w:color w:val="auto"/>
                <w:szCs w:val="21"/>
                <w:highlight w:val="none"/>
              </w:rPr>
            </w:pPr>
            <w:r>
              <w:rPr>
                <w:rFonts w:hint="eastAsia" w:ascii="宋体" w:hAnsi="宋体"/>
                <w:color w:val="auto"/>
                <w:szCs w:val="21"/>
                <w:highlight w:val="none"/>
              </w:rPr>
              <w:t>汞元素</w:t>
            </w:r>
          </w:p>
        </w:tc>
        <w:tc>
          <w:tcPr>
            <w:tcW w:w="1813" w:type="dxa"/>
            <w:vAlign w:val="center"/>
          </w:tcPr>
          <w:p>
            <w:pPr>
              <w:jc w:val="center"/>
              <w:rPr>
                <w:rFonts w:ascii="宋体" w:hAnsi="宋体"/>
                <w:color w:val="auto"/>
                <w:szCs w:val="21"/>
                <w:highlight w:val="none"/>
              </w:rPr>
            </w:pPr>
            <w:r>
              <w:rPr>
                <w:rFonts w:hint="eastAsia" w:ascii="宋体" w:hAnsi="宋体"/>
                <w:color w:val="auto"/>
                <w:szCs w:val="21"/>
                <w:highlight w:val="none"/>
              </w:rPr>
              <w:t>GB/T 30512-2014</w:t>
            </w:r>
          </w:p>
        </w:tc>
        <w:tc>
          <w:tcPr>
            <w:tcW w:w="4591" w:type="dxa"/>
            <w:vAlign w:val="center"/>
          </w:tcPr>
          <w:p>
            <w:pPr>
              <w:jc w:val="center"/>
              <w:rPr>
                <w:rFonts w:ascii="宋体" w:hAnsi="宋体"/>
                <w:color w:val="auto"/>
                <w:szCs w:val="21"/>
                <w:highlight w:val="none"/>
              </w:rPr>
            </w:pPr>
            <w:r>
              <w:rPr>
                <w:rFonts w:hint="eastAsia" w:ascii="宋体" w:hAnsi="宋体"/>
                <w:color w:val="auto"/>
                <w:szCs w:val="21"/>
                <w:highlight w:val="none"/>
              </w:rPr>
              <w:t xml:space="preserve">QC/T 941-2013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26" w:type="dxa"/>
            <w:tcBorders>
              <w:top w:val="single" w:color="auto" w:sz="4" w:space="0"/>
              <w:bottom w:val="single" w:color="auto" w:sz="4" w:space="0"/>
            </w:tcBorders>
            <w:vAlign w:val="center"/>
          </w:tcPr>
          <w:p>
            <w:pPr>
              <w:pStyle w:val="4"/>
              <w:snapToGrid w:val="0"/>
              <w:spacing w:before="0" w:beforeAutospacing="0" w:after="0" w:afterAutospacing="0"/>
              <w:jc w:val="center"/>
              <w:rPr>
                <w:rFonts w:ascii="宋体" w:hAnsi="宋体"/>
                <w:color w:val="auto"/>
                <w:sz w:val="21"/>
                <w:szCs w:val="21"/>
                <w:highlight w:val="none"/>
              </w:rPr>
            </w:pPr>
            <w:r>
              <w:rPr>
                <w:rFonts w:hint="eastAsia" w:ascii="宋体" w:hAnsi="宋体"/>
                <w:color w:val="auto"/>
                <w:sz w:val="21"/>
                <w:szCs w:val="21"/>
                <w:highlight w:val="none"/>
              </w:rPr>
              <w:t>6</w:t>
            </w:r>
          </w:p>
        </w:tc>
        <w:tc>
          <w:tcPr>
            <w:tcW w:w="2014" w:type="dxa"/>
            <w:vAlign w:val="center"/>
          </w:tcPr>
          <w:p>
            <w:pPr>
              <w:spacing w:line="320" w:lineRule="exact"/>
              <w:jc w:val="center"/>
              <w:rPr>
                <w:rFonts w:ascii="宋体" w:hAnsi="宋体"/>
                <w:color w:val="auto"/>
                <w:szCs w:val="21"/>
                <w:highlight w:val="none"/>
              </w:rPr>
            </w:pPr>
            <w:r>
              <w:rPr>
                <w:rFonts w:hint="eastAsia" w:ascii="宋体" w:hAnsi="宋体"/>
                <w:color w:val="auto"/>
                <w:szCs w:val="21"/>
                <w:highlight w:val="none"/>
              </w:rPr>
              <w:t>铅元素</w:t>
            </w:r>
          </w:p>
        </w:tc>
        <w:tc>
          <w:tcPr>
            <w:tcW w:w="1813" w:type="dxa"/>
            <w:vAlign w:val="center"/>
          </w:tcPr>
          <w:p>
            <w:pPr>
              <w:jc w:val="center"/>
              <w:rPr>
                <w:rFonts w:ascii="宋体" w:hAnsi="宋体"/>
                <w:color w:val="auto"/>
                <w:szCs w:val="21"/>
                <w:highlight w:val="none"/>
              </w:rPr>
            </w:pPr>
            <w:r>
              <w:rPr>
                <w:rFonts w:hint="eastAsia" w:ascii="宋体" w:hAnsi="宋体"/>
                <w:color w:val="auto"/>
                <w:szCs w:val="21"/>
                <w:highlight w:val="none"/>
              </w:rPr>
              <w:t>GB/T 30512-2014</w:t>
            </w:r>
          </w:p>
        </w:tc>
        <w:tc>
          <w:tcPr>
            <w:tcW w:w="4591" w:type="dxa"/>
            <w:vAlign w:val="center"/>
          </w:tcPr>
          <w:p>
            <w:pPr>
              <w:jc w:val="center"/>
              <w:rPr>
                <w:rFonts w:ascii="宋体" w:hAnsi="宋体"/>
                <w:color w:val="auto"/>
                <w:szCs w:val="21"/>
                <w:highlight w:val="none"/>
              </w:rPr>
            </w:pPr>
            <w:r>
              <w:rPr>
                <w:rFonts w:hint="eastAsia" w:ascii="宋体" w:hAnsi="宋体"/>
                <w:color w:val="auto"/>
                <w:szCs w:val="21"/>
                <w:highlight w:val="none"/>
              </w:rPr>
              <w:t xml:space="preserve">QC/T 943-2013  </w:t>
            </w:r>
          </w:p>
        </w:tc>
      </w:tr>
    </w:tbl>
    <w:p>
      <w:pPr>
        <w:snapToGrid w:val="0"/>
        <w:spacing w:line="440" w:lineRule="exact"/>
        <w:rPr>
          <w:rFonts w:hint="eastAsia" w:ascii="黑体" w:hAnsi="黑体" w:eastAsia="黑体"/>
          <w:color w:val="auto"/>
          <w:szCs w:val="21"/>
          <w:highlight w:val="none"/>
        </w:rPr>
      </w:pPr>
      <w:r>
        <w:rPr>
          <w:rFonts w:hint="eastAsia" w:ascii="黑体" w:hAnsi="黑体" w:eastAsia="黑体"/>
          <w:color w:val="auto"/>
          <w:szCs w:val="21"/>
          <w:highlight w:val="none"/>
        </w:rPr>
        <w:t>7 判定原则</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若被检产品明示的质量要求高于本细则中检验项目依据的标准要求时，应按被检产品明示的质量要求判定。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若被检产品明示的质量要求低于本细则中检验项目依据的强制性标准要求时，应按照强制性标准要求判定。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若被检产品明示的质量要求低于或包含细则中检验项目依据的推荐性标准要求时，应以被检产品明示的质量要求判定。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若被检产品明示的质量要求缺少本细则中检验项目依据的强制性标准要求时，应按照强制性标准要求判定。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若被检产品明示的质量要求缺少本细则中检验项目依据的推荐性标准要求时，该项目不参与判定，但应在检验报告备注中进行说明。</w:t>
      </w:r>
    </w:p>
    <w:p>
      <w:pPr>
        <w:snapToGrid w:val="0"/>
        <w:spacing w:line="480" w:lineRule="exact"/>
        <w:ind w:firstLine="420" w:firstLineChars="200"/>
        <w:rPr>
          <w:rFonts w:ascii="宋体" w:hAnsi="宋体"/>
          <w:bCs/>
          <w:color w:val="auto"/>
          <w:szCs w:val="21"/>
          <w:highlight w:val="none"/>
        </w:rPr>
      </w:pPr>
      <w:r>
        <w:rPr>
          <w:rFonts w:hint="eastAsia" w:ascii="宋体" w:hAnsi="宋体"/>
          <w:bCs/>
          <w:color w:val="auto"/>
          <w:szCs w:val="21"/>
          <w:highlight w:val="none"/>
        </w:rPr>
        <w:t xml:space="preserve">经检验，检验项目全部合格，判定为被抽查产品合格;检验项目中任一项或一项以上不合格，判定为被抽查产品不合格。 </w:t>
      </w:r>
    </w:p>
    <w:p>
      <w:pPr>
        <w:snapToGrid w:val="0"/>
        <w:spacing w:line="480" w:lineRule="exact"/>
        <w:rPr>
          <w:rFonts w:ascii="宋体" w:hAnsi="宋体"/>
          <w:bCs/>
          <w:color w:val="auto"/>
          <w:szCs w:val="21"/>
          <w:highlight w:val="none"/>
        </w:rPr>
      </w:pPr>
      <w:r>
        <w:rPr>
          <w:rFonts w:hint="eastAsia" w:ascii="宋体" w:hAnsi="宋体"/>
          <w:bCs/>
          <w:color w:val="auto"/>
          <w:szCs w:val="21"/>
          <w:highlight w:val="none"/>
        </w:rPr>
        <w:t>7.1  当所检项目全部符合执行标准要求，判定为：“依据xxx〔xxxx〕xx号文中</w:t>
      </w:r>
      <w:r>
        <w:rPr>
          <w:rFonts w:hint="eastAsia" w:ascii="宋体" w:hAnsi="宋体"/>
          <w:bCs/>
          <w:color w:val="auto"/>
          <w:szCs w:val="21"/>
          <w:highlight w:val="none"/>
        </w:rPr>
        <w:t>《</w:t>
      </w:r>
      <w:r>
        <w:rPr>
          <w:rFonts w:hint="eastAsia" w:ascii="宋体" w:hAnsi="宋体"/>
          <w:bCs/>
          <w:color w:val="auto"/>
          <w:szCs w:val="21"/>
          <w:highlight w:val="none"/>
          <w:lang w:val="en-US" w:eastAsia="zh-CN"/>
        </w:rPr>
        <w:t>2025</w:t>
      </w:r>
      <w:r>
        <w:rPr>
          <w:rFonts w:hint="eastAsia" w:ascii="宋体" w:hAnsi="宋体"/>
          <w:bCs/>
          <w:color w:val="auto"/>
          <w:szCs w:val="21"/>
          <w:highlight w:val="none"/>
        </w:rPr>
        <w:t>年</w:t>
      </w:r>
      <w:r>
        <w:rPr>
          <w:rFonts w:hint="eastAsia" w:ascii="宋体" w:hAnsi="宋体" w:cs="Sim Sun"/>
          <w:color w:val="auto"/>
          <w:kern w:val="0"/>
          <w:szCs w:val="21"/>
          <w:highlight w:val="none"/>
        </w:rPr>
        <w:t>汽车内饰材料</w:t>
      </w:r>
      <w:r>
        <w:rPr>
          <w:rFonts w:hint="eastAsia" w:ascii="宋体" w:hAnsi="宋体"/>
          <w:bCs/>
          <w:color w:val="auto"/>
          <w:szCs w:val="21"/>
          <w:highlight w:val="none"/>
        </w:rPr>
        <w:t>产品质量广西监督抽查实施细则》要求，对所抽样品的xx个项目进行了检验，检验结果符合标准号《标准名称》要求。综合判定：该产品本次监督抽查合格。”</w:t>
      </w:r>
    </w:p>
    <w:p>
      <w:pPr>
        <w:snapToGrid w:val="0"/>
        <w:spacing w:line="480" w:lineRule="exact"/>
        <w:rPr>
          <w:rFonts w:ascii="宋体" w:hAnsi="宋体"/>
          <w:bCs/>
          <w:color w:val="auto"/>
          <w:szCs w:val="21"/>
          <w:highlight w:val="none"/>
        </w:rPr>
      </w:pPr>
      <w:r>
        <w:rPr>
          <w:rFonts w:hint="eastAsia" w:ascii="宋体" w:hAnsi="宋体"/>
          <w:bCs/>
          <w:color w:val="auto"/>
          <w:szCs w:val="21"/>
          <w:highlight w:val="none"/>
        </w:rPr>
        <w:t>7.2  当所检项目有一项或一项以上不符合执行标准要求，判定为：“依据xxx〔xxxx〕xx号文中《</w:t>
      </w:r>
      <w:r>
        <w:rPr>
          <w:rFonts w:hint="eastAsia" w:ascii="宋体" w:hAnsi="宋体"/>
          <w:bCs/>
          <w:color w:val="auto"/>
          <w:szCs w:val="21"/>
          <w:highlight w:val="none"/>
          <w:lang w:val="en-US" w:eastAsia="zh-CN"/>
        </w:rPr>
        <w:t>2025</w:t>
      </w:r>
      <w:r>
        <w:rPr>
          <w:rFonts w:hint="eastAsia" w:ascii="宋体" w:hAnsi="宋体"/>
          <w:bCs/>
          <w:color w:val="auto"/>
          <w:szCs w:val="21"/>
          <w:highlight w:val="none"/>
        </w:rPr>
        <w:t>年</w:t>
      </w:r>
      <w:r>
        <w:rPr>
          <w:rFonts w:hint="eastAsia" w:ascii="宋体" w:hAnsi="宋体" w:cs="Sim Sun"/>
          <w:color w:val="auto"/>
          <w:kern w:val="0"/>
          <w:szCs w:val="21"/>
          <w:highlight w:val="none"/>
        </w:rPr>
        <w:t>汽车内饰材料</w:t>
      </w:r>
      <w:r>
        <w:rPr>
          <w:rFonts w:hint="eastAsia" w:ascii="宋体" w:hAnsi="宋体"/>
          <w:bCs/>
          <w:color w:val="auto"/>
          <w:szCs w:val="21"/>
          <w:highlight w:val="none"/>
        </w:rPr>
        <w:t xml:space="preserve">产品质量广西监督抽查实施细则》要求，对所抽样品的xx个项目进行了检验，其中xx项目的检验结果不符合标准号《标准名称》要求。综合判定：该产品本次监督抽查不合格。” </w:t>
      </w:r>
    </w:p>
    <w:p>
      <w:pPr>
        <w:snapToGrid w:val="0"/>
        <w:spacing w:line="480" w:lineRule="exact"/>
        <w:ind w:firstLine="420" w:firstLineChars="200"/>
        <w:rPr>
          <w:rFonts w:ascii="宋体" w:hAnsi="宋体"/>
          <w:bCs/>
          <w:color w:val="auto"/>
          <w:szCs w:val="21"/>
          <w:highlight w:val="none"/>
        </w:rPr>
      </w:pPr>
      <w:r>
        <w:rPr>
          <w:rFonts w:hint="eastAsia" w:ascii="宋体" w:hAnsi="宋体"/>
          <w:bCs/>
          <w:color w:val="auto"/>
          <w:szCs w:val="21"/>
          <w:highlight w:val="none"/>
        </w:rPr>
        <w:t>注：若产品标准有推荐性国家标准、行业标准、地方推荐性标准，而企业执行自己的企业标准，若抽查项目在企业标准中规定又低于推荐性国家标准、行业标准、地方推荐性标准，所检项目有一项或一项以上低于国家、行业、地方推荐性标准要求（含国家、行业、地方强制性标准中的推荐性条款）时，在使用企业标准作出合格或不合格结论的同时，在 “备注” 栏中说明：该产品本次监督抽查检验，xx 项目不符合 xx 标准号《国家（行业、地方）标准名称》要求。</w:t>
      </w:r>
    </w:p>
    <w:p>
      <w:pPr>
        <w:snapToGrid w:val="0"/>
        <w:spacing w:line="440" w:lineRule="exact"/>
        <w:rPr>
          <w:rFonts w:hint="eastAsia" w:ascii="黑体" w:hAnsi="黑体" w:eastAsia="黑体"/>
          <w:color w:val="auto"/>
          <w:szCs w:val="21"/>
          <w:highlight w:val="none"/>
        </w:rPr>
      </w:pPr>
      <w:r>
        <w:rPr>
          <w:rFonts w:hint="eastAsia" w:ascii="黑体" w:hAnsi="黑体" w:eastAsia="黑体"/>
          <w:color w:val="auto"/>
          <w:szCs w:val="21"/>
          <w:highlight w:val="none"/>
        </w:rPr>
        <w:t>8 异议处理</w:t>
      </w:r>
    </w:p>
    <w:p>
      <w:pPr>
        <w:spacing w:line="480" w:lineRule="exact"/>
        <w:ind w:firstLine="420" w:firstLineChars="200"/>
        <w:rPr>
          <w:rFonts w:ascii="宋体" w:hAnsi="宋体" w:cs="Sim Sun"/>
          <w:color w:val="auto"/>
          <w:kern w:val="0"/>
          <w:szCs w:val="21"/>
          <w:highlight w:val="none"/>
        </w:rPr>
      </w:pPr>
      <w:r>
        <w:rPr>
          <w:rFonts w:hint="eastAsia" w:ascii="宋体" w:hAnsi="宋体" w:cs="Sim Sun"/>
          <w:color w:val="auto"/>
          <w:kern w:val="0"/>
          <w:szCs w:val="21"/>
          <w:highlight w:val="none"/>
        </w:rPr>
        <w:t>对被判定为不合格产品进行复检时，按以下方式进行：</w:t>
      </w:r>
    </w:p>
    <w:p>
      <w:pPr>
        <w:spacing w:line="480" w:lineRule="exact"/>
        <w:rPr>
          <w:rFonts w:ascii="宋体" w:hAnsi="宋体"/>
          <w:color w:val="auto"/>
          <w:szCs w:val="21"/>
          <w:highlight w:val="none"/>
        </w:rPr>
      </w:pPr>
      <w:r>
        <w:rPr>
          <w:rFonts w:hint="eastAsia" w:ascii="宋体" w:hAnsi="宋体"/>
          <w:color w:val="auto"/>
          <w:szCs w:val="21"/>
          <w:highlight w:val="none"/>
        </w:rPr>
        <w:t>8.1 核查不合格项目相关证据，能够以记录（纸质记录或电子记录或影像记录）或与不合格项目相关联的其它质量数据等检验证据证明的，由监督抽查组织部门根据核查情况作出异议处理决定。</w:t>
      </w:r>
    </w:p>
    <w:p>
      <w:pPr>
        <w:spacing w:line="480" w:lineRule="exact"/>
        <w:rPr>
          <w:rFonts w:ascii="宋体" w:hAnsi="宋体" w:cs="宋体"/>
          <w:bCs/>
          <w:color w:val="auto"/>
          <w:szCs w:val="21"/>
          <w:highlight w:val="none"/>
        </w:rPr>
      </w:pPr>
      <w:r>
        <w:rPr>
          <w:rFonts w:hint="eastAsia" w:ascii="宋体" w:hAnsi="宋体"/>
          <w:color w:val="auto"/>
          <w:szCs w:val="21"/>
          <w:highlight w:val="none"/>
        </w:rPr>
        <w:t>8.2 对需要复检并具备检验条件的，监督抽查组织部门按照《产品质量监督抽查管理暂行办法》要求组织复检机构对对抽取的备用样品进行复检，并出具检验报告。复检结论为最终结论。</w:t>
      </w:r>
    </w:p>
    <w:p>
      <w:pPr>
        <w:spacing w:line="480" w:lineRule="exact"/>
        <w:rPr>
          <w:rFonts w:ascii="宋体" w:hAnsi="宋体" w:eastAsia="仿宋_GB2312" w:cs="Sim Sun"/>
          <w:color w:val="auto"/>
          <w:kern w:val="0"/>
          <w:sz w:val="44"/>
          <w:szCs w:val="21"/>
          <w:highlight w:val="none"/>
        </w:rPr>
      </w:pPr>
    </w:p>
    <w:p>
      <w:pPr>
        <w:widowControl/>
        <w:spacing w:line="440" w:lineRule="exact"/>
        <w:jc w:val="left"/>
        <w:rPr>
          <w:rFonts w:ascii="黑体" w:hAnsi="黑体" w:eastAsia="黑体" w:cs="黑体"/>
          <w:color w:val="auto"/>
          <w:szCs w:val="21"/>
          <w:highlight w:val="none"/>
        </w:rPr>
      </w:pPr>
    </w:p>
    <w:bookmarkEnd w:id="1"/>
    <w:sectPr>
      <w:footerReference r:id="rId3" w:type="default"/>
      <w:pgSz w:w="11906" w:h="16838"/>
      <w:pgMar w:top="1701" w:right="1474" w:bottom="147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仿宋"/>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im Su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40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w:t>
                          </w:r>
                        </w:p>
                      </w:txbxContent>
                    </wps:txbx>
                    <wps:bodyPr wrap="none" lIns="0" tIns="0" rIns="0" bIns="0" upright="1">
                      <a:spAutoFit/>
                    </wps:bodyPr>
                  </wps:wsp>
                </a:graphicData>
              </a:graphic>
            </wp:anchor>
          </w:drawing>
        </mc:Choice>
        <mc:Fallback>
          <w:pict>
            <v:shape id="4097"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j&#10;4JU5twEAAJIDAAAOAAAAAAAAAAEAIAAAAB4BAABkcnMvZTJvRG9jLnhtbFBLBQYAAAAABgAGAFkB&#10;AABHBQAAAAA=&#10;">
              <v:fill on="f" focussize="0,0"/>
              <v:stroke on="f"/>
              <v:imagedata o:title=""/>
              <o:lock v:ext="edit" aspectratio="f"/>
              <v:textbox inset="0mm,0mm,0mm,0mm" style="mso-fit-shape-to-text:t;">
                <w:txbxContent>
                  <w:p>
                    <w:pPr>
                      <w:pStyle w:val="5"/>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w:t>
                    </w:r>
                  </w:p>
                </w:txbxContent>
              </v:textbox>
            </v:shape>
          </w:pict>
        </mc:Fallback>
      </mc:AlternateContent>
    </w:r>
    <w:r>
      <w:rPr>
        <w:rFonts w:hint="eastAsia"/>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975F9"/>
    <w:rsid w:val="102E3977"/>
    <w:rsid w:val="25D76F63"/>
    <w:rsid w:val="2BD36325"/>
    <w:rsid w:val="30392D03"/>
    <w:rsid w:val="36343134"/>
    <w:rsid w:val="4C704DB5"/>
    <w:rsid w:val="533C4F02"/>
    <w:rsid w:val="5E2C06A9"/>
    <w:rsid w:val="6E992F68"/>
    <w:rsid w:val="73272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9"/>
    <w:qFormat/>
    <w:uiPriority w:val="0"/>
    <w:pPr>
      <w:keepNext/>
      <w:keepLines/>
      <w:spacing w:before="260" w:after="260" w:line="416" w:lineRule="auto"/>
      <w:outlineLvl w:val="2"/>
    </w:pPr>
    <w:rPr>
      <w:b/>
      <w:bCs/>
      <w:sz w:val="32"/>
      <w:szCs w:val="32"/>
    </w:rPr>
  </w:style>
  <w:style w:type="character" w:default="1" w:styleId="8">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4">
    <w:name w:val="Plain Text"/>
    <w:basedOn w:val="1"/>
    <w:link w:val="13"/>
    <w:qFormat/>
    <w:uiPriority w:val="0"/>
    <w:pPr>
      <w:widowControl/>
      <w:spacing w:before="100" w:beforeAutospacing="1" w:after="100" w:afterAutospacing="1"/>
      <w:jc w:val="left"/>
    </w:pPr>
    <w:rPr>
      <w:rFonts w:ascii="ˎ̥" w:hAnsi="ˎ̥" w:cs="宋体"/>
      <w:sz w:val="18"/>
      <w:szCs w:val="18"/>
    </w:rPr>
  </w:style>
  <w:style w:type="paragraph" w:styleId="5">
    <w:name w:val="footer"/>
    <w:basedOn w:val="1"/>
    <w:link w:val="12"/>
    <w:qFormat/>
    <w:uiPriority w:val="0"/>
    <w:pPr>
      <w:tabs>
        <w:tab w:val="center" w:pos="4153"/>
        <w:tab w:val="right" w:pos="8306"/>
      </w:tabs>
      <w:snapToGrid w:val="0"/>
      <w:jc w:val="left"/>
    </w:pPr>
    <w:rPr>
      <w:rFonts w:ascii="Calibri" w:hAnsi="Calibri" w:eastAsia="宋体" w:cs="宋体"/>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3 Char"/>
    <w:basedOn w:val="8"/>
    <w:link w:val="3"/>
    <w:qFormat/>
    <w:uiPriority w:val="0"/>
    <w:rPr>
      <w:rFonts w:ascii="Calibri" w:hAnsi="Calibri" w:eastAsia="宋体" w:cs="Times New Roman"/>
      <w:b/>
      <w:bCs/>
      <w:sz w:val="32"/>
      <w:szCs w:val="32"/>
    </w:rPr>
  </w:style>
  <w:style w:type="character" w:customStyle="1" w:styleId="10">
    <w:name w:val="纯文本 Char"/>
    <w:link w:val="4"/>
    <w:qFormat/>
    <w:uiPriority w:val="0"/>
    <w:rPr>
      <w:rFonts w:ascii="ˎ̥" w:hAnsi="ˎ̥" w:eastAsia="宋体"/>
      <w:sz w:val="18"/>
      <w:szCs w:val="18"/>
    </w:rPr>
  </w:style>
  <w:style w:type="character" w:customStyle="1" w:styleId="11">
    <w:name w:val="页脚 Char"/>
    <w:link w:val="5"/>
    <w:qFormat/>
    <w:uiPriority w:val="0"/>
    <w:rPr>
      <w:sz w:val="18"/>
      <w:szCs w:val="18"/>
    </w:rPr>
  </w:style>
  <w:style w:type="character" w:customStyle="1" w:styleId="12">
    <w:name w:val="页脚 Char1"/>
    <w:basedOn w:val="8"/>
    <w:link w:val="5"/>
    <w:qFormat/>
    <w:uiPriority w:val="99"/>
    <w:rPr>
      <w:rFonts w:ascii="Calibri" w:hAnsi="Calibri" w:eastAsia="宋体" w:cs="Times New Roman"/>
      <w:sz w:val="18"/>
      <w:szCs w:val="18"/>
    </w:rPr>
  </w:style>
  <w:style w:type="character" w:customStyle="1" w:styleId="13">
    <w:name w:val="纯文本 Char1"/>
    <w:basedOn w:val="8"/>
    <w:link w:val="4"/>
    <w:qFormat/>
    <w:uiPriority w:val="99"/>
    <w:rPr>
      <w:rFonts w:ascii="宋体" w:hAnsi="Courier New" w:eastAsia="宋体" w:cs="Courier New"/>
      <w:szCs w:val="21"/>
    </w:rPr>
  </w:style>
  <w:style w:type="paragraph" w:customStyle="1" w:styleId="14">
    <w:name w:val="章标题"/>
    <w:next w:val="1"/>
    <w:qFormat/>
    <w:uiPriority w:val="0"/>
    <w:pPr>
      <w:spacing w:beforeLines="100" w:afterLines="100"/>
      <w:jc w:val="both"/>
      <w:outlineLvl w:val="1"/>
    </w:pPr>
    <w:rPr>
      <w:rFonts w:ascii="黑体" w:hAnsi="Times New Roman" w:eastAsia="黑体" w:cs="Times New Roman"/>
      <w:sz w:val="21"/>
      <w:lang w:val="en-US" w:eastAsia="zh-CN" w:bidi="ar-SA"/>
    </w:rPr>
  </w:style>
  <w:style w:type="character" w:customStyle="1" w:styleId="15">
    <w:name w:val="页眉 Char"/>
    <w:basedOn w:val="8"/>
    <w:link w:val="6"/>
    <w:qFormat/>
    <w:uiPriority w:val="99"/>
    <w:rPr>
      <w:rFonts w:ascii="Calibri" w:hAnsi="Calibri" w:eastAsia="宋体" w:cs="Times New Roman"/>
      <w:kern w:val="2"/>
      <w:sz w:val="18"/>
      <w:szCs w:val="18"/>
    </w:rPr>
  </w:style>
  <w:style w:type="character" w:customStyle="1" w:styleId="16">
    <w:name w:val="标题 1 Char"/>
    <w:basedOn w:val="8"/>
    <w:link w:val="2"/>
    <w:qFormat/>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3374</Words>
  <Characters>3741</Characters>
  <Paragraphs>109</Paragraphs>
  <TotalTime>22</TotalTime>
  <ScaleCrop>false</ScaleCrop>
  <LinksUpToDate>false</LinksUpToDate>
  <CharactersWithSpaces>3825</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2023-06-02T07:37:00Z</dcterms:created>
  <dc:creator>黄绍敏</dc:creator>
  <cp:lastModifiedBy>Hélodie Jaqucline迪</cp:lastModifiedBy>
  <dcterms:modified xsi:type="dcterms:W3CDTF">2025-06-05T07:18:23Z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C96FB57E692A4E2C946B0647B42854B2_13</vt:lpwstr>
  </property>
  <property fmtid="{D5CDD505-2E9C-101B-9397-08002B2CF9AE}" pid="4" name="KSOTemplateDocerSaveRecord">
    <vt:lpwstr>eyJoZGlkIjoiYzM3NDM3ZDQxMjc2MWYwZTAyMzdjMjM3NDQyNjhkOTciLCJ1c2VySWQiOiI1NzA1NzMxMDgifQ==</vt:lpwstr>
  </property>
</Properties>
</file>